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817053" w:rsidTr="00817053">
        <w:trPr>
          <w:cantSplit/>
          <w:tblHeader/>
        </w:trPr>
        <w:tc>
          <w:tcPr>
            <w:tcW w:w="18713" w:type="dxa"/>
            <w:gridSpan w:val="3"/>
          </w:tcPr>
          <w:p w:rsidR="009430F9" w:rsidRDefault="008C76D5">
            <w:pPr>
              <w:ind w:left="650"/>
              <w:jc w:val="center"/>
            </w:pPr>
            <w:r>
              <w:rPr>
                <w:b/>
              </w:rPr>
              <w:t xml:space="preserve">House </w:t>
            </w:r>
            <w:smartTag w:uri="urn:schemas:contacts" w:element="GivenName">
              <w:r>
                <w:rPr>
                  <w:b/>
                </w:rPr>
                <w:t>Bill</w:t>
              </w:r>
            </w:smartTag>
            <w:r>
              <w:rPr>
                <w:b/>
              </w:rPr>
              <w:t xml:space="preserve">  1040</w:t>
            </w:r>
          </w:p>
          <w:p w:rsidR="009430F9" w:rsidRDefault="008C76D5">
            <w:pPr>
              <w:ind w:left="650"/>
              <w:jc w:val="center"/>
            </w:pPr>
            <w:r>
              <w:t>Senate Amendments</w:t>
            </w:r>
          </w:p>
          <w:p w:rsidR="009430F9" w:rsidRDefault="008C76D5">
            <w:pPr>
              <w:ind w:left="650"/>
              <w:jc w:val="center"/>
            </w:pPr>
            <w:r>
              <w:t>Section-by-Section Analysis</w:t>
            </w:r>
          </w:p>
          <w:p w:rsidR="009430F9" w:rsidRDefault="009430F9">
            <w:pPr>
              <w:jc w:val="center"/>
            </w:pPr>
          </w:p>
        </w:tc>
      </w:tr>
      <w:tr w:rsidR="009430F9">
        <w:trPr>
          <w:cantSplit/>
          <w:tblHeader/>
        </w:trPr>
        <w:tc>
          <w:tcPr>
            <w:tcW w:w="1667" w:type="pct"/>
            <w:tcMar>
              <w:bottom w:w="188" w:type="dxa"/>
              <w:right w:w="0" w:type="dxa"/>
            </w:tcMar>
          </w:tcPr>
          <w:p w:rsidR="009430F9" w:rsidRDefault="008C76D5">
            <w:pPr>
              <w:jc w:val="center"/>
            </w:pPr>
            <w:r>
              <w:t>HOUSE VERSION</w:t>
            </w:r>
          </w:p>
        </w:tc>
        <w:tc>
          <w:tcPr>
            <w:tcW w:w="1667" w:type="pct"/>
            <w:tcMar>
              <w:bottom w:w="188" w:type="dxa"/>
              <w:right w:w="0" w:type="dxa"/>
            </w:tcMar>
          </w:tcPr>
          <w:p w:rsidR="009430F9" w:rsidRDefault="008C76D5">
            <w:pPr>
              <w:jc w:val="center"/>
            </w:pPr>
            <w:r>
              <w:t>SENATE VERSION (CS)</w:t>
            </w:r>
          </w:p>
        </w:tc>
        <w:tc>
          <w:tcPr>
            <w:tcW w:w="1667" w:type="pct"/>
            <w:tcMar>
              <w:bottom w:w="188" w:type="dxa"/>
              <w:right w:w="0" w:type="dxa"/>
            </w:tcMar>
          </w:tcPr>
          <w:p w:rsidR="009430F9" w:rsidRDefault="008C76D5">
            <w:pPr>
              <w:jc w:val="center"/>
            </w:pPr>
            <w:r>
              <w:t>CONFERENCE</w:t>
            </w:r>
          </w:p>
        </w:tc>
      </w:tr>
      <w:tr w:rsidR="009430F9">
        <w:tc>
          <w:tcPr>
            <w:tcW w:w="6473" w:type="dxa"/>
          </w:tcPr>
          <w:p w:rsidR="009430F9" w:rsidRDefault="008C76D5">
            <w:pPr>
              <w:jc w:val="both"/>
            </w:pPr>
            <w:r>
              <w:t>SECTION 1.  (a)  The legislature validates and confirms:</w:t>
            </w:r>
          </w:p>
          <w:p w:rsidR="009430F9" w:rsidRDefault="008C76D5">
            <w:pPr>
              <w:jc w:val="both"/>
            </w:pPr>
            <w:r>
              <w:t>(1)  the creation of, and election on, a venue project to finance the restoration and renovation of a venue as of the date of an election held before the effective date of this Act at which the voters of a municipality approved the creation of the venue project and the levy of a two percent increase in the local hotel occupancy tax; and</w:t>
            </w:r>
          </w:p>
          <w:p w:rsidR="009430F9" w:rsidRDefault="008C76D5">
            <w:pPr>
              <w:jc w:val="both"/>
            </w:pPr>
            <w:r>
              <w:t>(2)  the levy and collection of a two percent increase in the local hotel occupancy tax for a venue project that occurred before the effective date of this Act.</w:t>
            </w:r>
          </w:p>
          <w:p w:rsidR="009430F9" w:rsidRDefault="008C76D5">
            <w:pPr>
              <w:jc w:val="both"/>
            </w:pPr>
            <w:r>
              <w:t>(b)  This section does not apply to any matter that on the effective date of this Act:</w:t>
            </w:r>
          </w:p>
          <w:p w:rsidR="009430F9" w:rsidRDefault="008C76D5">
            <w:pPr>
              <w:jc w:val="both"/>
            </w:pPr>
            <w:r>
              <w:t>(1)  is involved in litigation if the litigation ultimately results in the matter being held invalid by a final court judgment; or</w:t>
            </w:r>
          </w:p>
          <w:p w:rsidR="009430F9" w:rsidRDefault="008C76D5">
            <w:pPr>
              <w:jc w:val="both"/>
            </w:pPr>
            <w:r>
              <w:t>(2)  has been held invalid by a final court judgment.</w:t>
            </w:r>
          </w:p>
          <w:p w:rsidR="009430F9" w:rsidRDefault="008C76D5">
            <w:pPr>
              <w:jc w:val="both"/>
            </w:pPr>
            <w:r>
              <w:t>(c)  This Act does not validate any governmental act or proceeding that, under the law in effect at the time the act or proceeding occurred, would constitute a criminal offense punishable as a misdemeanor or felony.</w:t>
            </w:r>
          </w:p>
        </w:tc>
        <w:tc>
          <w:tcPr>
            <w:tcW w:w="6480" w:type="dxa"/>
          </w:tcPr>
          <w:p w:rsidR="009430F9" w:rsidRDefault="008C76D5">
            <w:pPr>
              <w:jc w:val="both"/>
            </w:pPr>
            <w:r>
              <w:t>SECTION 1. Same as House version.</w:t>
            </w:r>
          </w:p>
          <w:p w:rsidR="009430F9" w:rsidRDefault="009430F9">
            <w:pPr>
              <w:jc w:val="both"/>
            </w:pPr>
          </w:p>
          <w:p w:rsidR="009430F9" w:rsidRDefault="009430F9">
            <w:pPr>
              <w:jc w:val="both"/>
            </w:pPr>
          </w:p>
        </w:tc>
        <w:tc>
          <w:tcPr>
            <w:tcW w:w="5760" w:type="dxa"/>
          </w:tcPr>
          <w:p w:rsidR="009430F9" w:rsidRDefault="009430F9">
            <w:pPr>
              <w:jc w:val="both"/>
            </w:pPr>
          </w:p>
        </w:tc>
      </w:tr>
      <w:tr w:rsidR="009430F9">
        <w:tc>
          <w:tcPr>
            <w:tcW w:w="6473" w:type="dxa"/>
          </w:tcPr>
          <w:p w:rsidR="009430F9" w:rsidRDefault="008C76D5">
            <w:pPr>
              <w:jc w:val="both"/>
            </w:pPr>
            <w:r w:rsidRPr="00817053">
              <w:rPr>
                <w:highlight w:val="yellow"/>
              </w:rPr>
              <w:t>No equivalent provision.</w:t>
            </w:r>
          </w:p>
          <w:p w:rsidR="009430F9" w:rsidRDefault="009430F9">
            <w:pPr>
              <w:jc w:val="both"/>
            </w:pPr>
          </w:p>
        </w:tc>
        <w:tc>
          <w:tcPr>
            <w:tcW w:w="6480" w:type="dxa"/>
          </w:tcPr>
          <w:p w:rsidR="009430F9" w:rsidRDefault="008C76D5">
            <w:pPr>
              <w:jc w:val="both"/>
            </w:pPr>
            <w:r>
              <w:t>SECTION 2.  Chapter 335, Local Government Code, is amended by adding Subchapter G to read as follows:</w:t>
            </w:r>
          </w:p>
          <w:p w:rsidR="009430F9" w:rsidRDefault="008C76D5">
            <w:pPr>
              <w:jc w:val="both"/>
            </w:pPr>
            <w:r>
              <w:rPr>
                <w:u w:val="single"/>
              </w:rPr>
              <w:t>SUBCHAPTER G.  DISSOLUTION OF DISTRICTS IN LESS POPULOUS COUNTIES</w:t>
            </w:r>
          </w:p>
          <w:p w:rsidR="009430F9" w:rsidRDefault="008C76D5">
            <w:pPr>
              <w:jc w:val="both"/>
            </w:pPr>
            <w:r>
              <w:rPr>
                <w:u w:val="single"/>
              </w:rPr>
              <w:t>Sec. 335.151.  APPLICABILITY.  This subchapter applies only to a district wholly located in a county with a population of less than 15,000.</w:t>
            </w:r>
          </w:p>
          <w:p w:rsidR="009430F9" w:rsidRDefault="008C76D5">
            <w:pPr>
              <w:jc w:val="both"/>
            </w:pPr>
            <w:r>
              <w:rPr>
                <w:u w:val="single"/>
              </w:rPr>
              <w:t>Sec. 335.152.  DISSOLUTION.  The governing body of each political subdivision that created a district may dissolve the district by adopting a concurrent order.</w:t>
            </w:r>
          </w:p>
          <w:p w:rsidR="009430F9" w:rsidRDefault="008C76D5">
            <w:pPr>
              <w:jc w:val="both"/>
            </w:pPr>
            <w:r>
              <w:rPr>
                <w:u w:val="single"/>
              </w:rPr>
              <w:t xml:space="preserve">Sec. 335.153.  ASSETS AND LIABILITIES.  (a)  The assets and liabilities of a district dissolved under this subchapter </w:t>
            </w:r>
            <w:r>
              <w:rPr>
                <w:u w:val="single"/>
              </w:rPr>
              <w:lastRenderedPageBreak/>
              <w:t>shall be transferred to the county in which the district is located.</w:t>
            </w:r>
          </w:p>
          <w:p w:rsidR="009430F9" w:rsidRDefault="008C76D5">
            <w:pPr>
              <w:jc w:val="both"/>
            </w:pPr>
            <w:r>
              <w:rPr>
                <w:u w:val="single"/>
              </w:rPr>
              <w:t>(b)  After payment of district liabilities, the county shall use the district assets that remain for an approved venue project of the county.</w:t>
            </w:r>
          </w:p>
        </w:tc>
        <w:tc>
          <w:tcPr>
            <w:tcW w:w="5760" w:type="dxa"/>
          </w:tcPr>
          <w:p w:rsidR="009430F9" w:rsidRDefault="009430F9">
            <w:pPr>
              <w:jc w:val="both"/>
            </w:pPr>
          </w:p>
        </w:tc>
      </w:tr>
      <w:tr w:rsidR="009430F9">
        <w:tc>
          <w:tcPr>
            <w:tcW w:w="6473" w:type="dxa"/>
          </w:tcPr>
          <w:p w:rsidR="009430F9" w:rsidRDefault="008C76D5">
            <w:pPr>
              <w:jc w:val="both"/>
            </w:pPr>
            <w:r>
              <w:lastRenderedPageBreak/>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tc>
        <w:tc>
          <w:tcPr>
            <w:tcW w:w="6480" w:type="dxa"/>
          </w:tcPr>
          <w:p w:rsidR="009430F9" w:rsidRDefault="008C76D5">
            <w:pPr>
              <w:jc w:val="both"/>
            </w:pPr>
            <w:r>
              <w:t>SECTION 3. Same as House version.</w:t>
            </w:r>
          </w:p>
          <w:p w:rsidR="009430F9" w:rsidRDefault="009430F9">
            <w:pPr>
              <w:jc w:val="both"/>
            </w:pPr>
          </w:p>
          <w:p w:rsidR="009430F9" w:rsidRDefault="009430F9">
            <w:pPr>
              <w:jc w:val="both"/>
            </w:pPr>
          </w:p>
        </w:tc>
        <w:tc>
          <w:tcPr>
            <w:tcW w:w="5760" w:type="dxa"/>
          </w:tcPr>
          <w:p w:rsidR="009430F9" w:rsidRDefault="009430F9">
            <w:pPr>
              <w:jc w:val="both"/>
            </w:pPr>
          </w:p>
        </w:tc>
      </w:tr>
    </w:tbl>
    <w:p w:rsidR="006A581E" w:rsidRDefault="006A581E"/>
    <w:sectPr w:rsidR="006A581E" w:rsidSect="009430F9">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F9" w:rsidRDefault="009430F9" w:rsidP="009430F9">
      <w:r>
        <w:separator/>
      </w:r>
    </w:p>
  </w:endnote>
  <w:endnote w:type="continuationSeparator" w:id="0">
    <w:p w:rsidR="009430F9" w:rsidRDefault="009430F9" w:rsidP="00943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B5" w:rsidRDefault="00D935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F9" w:rsidRDefault="001B1386">
    <w:pPr>
      <w:tabs>
        <w:tab w:val="center" w:pos="9360"/>
        <w:tab w:val="right" w:pos="18720"/>
      </w:tabs>
    </w:pPr>
    <w:fldSimple w:instr=" DOCPROPERTY  CCRF  \* MERGEFORMAT ">
      <w:r w:rsidR="00D935B5">
        <w:t xml:space="preserve"> </w:t>
      </w:r>
    </w:fldSimple>
    <w:r w:rsidR="008C76D5">
      <w:tab/>
    </w:r>
    <w:r>
      <w:fldChar w:fldCharType="begin"/>
    </w:r>
    <w:r w:rsidR="008C76D5">
      <w:instrText xml:space="preserve"> PAGE </w:instrText>
    </w:r>
    <w:r>
      <w:fldChar w:fldCharType="separate"/>
    </w:r>
    <w:r w:rsidR="002B0DF3">
      <w:rPr>
        <w:noProof/>
      </w:rPr>
      <w:t>1</w:t>
    </w:r>
    <w:r>
      <w:fldChar w:fldCharType="end"/>
    </w:r>
    <w:r w:rsidR="008C76D5">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B5" w:rsidRDefault="00D93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F9" w:rsidRDefault="009430F9" w:rsidP="009430F9">
      <w:r>
        <w:separator/>
      </w:r>
    </w:p>
  </w:footnote>
  <w:footnote w:type="continuationSeparator" w:id="0">
    <w:p w:rsidR="009430F9" w:rsidRDefault="009430F9" w:rsidP="00943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B5" w:rsidRDefault="00D935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B5" w:rsidRDefault="00D935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B5" w:rsidRDefault="00D935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9430F9"/>
    <w:rsid w:val="00076353"/>
    <w:rsid w:val="001B1386"/>
    <w:rsid w:val="002B0DF3"/>
    <w:rsid w:val="00343BDC"/>
    <w:rsid w:val="006A581E"/>
    <w:rsid w:val="00817053"/>
    <w:rsid w:val="008C76D5"/>
    <w:rsid w:val="009430F9"/>
    <w:rsid w:val="00D22914"/>
    <w:rsid w:val="00D57FFA"/>
    <w:rsid w:val="00D935B5"/>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F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35B5"/>
    <w:pPr>
      <w:tabs>
        <w:tab w:val="center" w:pos="4680"/>
        <w:tab w:val="right" w:pos="9360"/>
      </w:tabs>
    </w:pPr>
  </w:style>
  <w:style w:type="character" w:customStyle="1" w:styleId="HeaderChar">
    <w:name w:val="Header Char"/>
    <w:basedOn w:val="DefaultParagraphFont"/>
    <w:link w:val="Header"/>
    <w:uiPriority w:val="99"/>
    <w:semiHidden/>
    <w:rsid w:val="00D935B5"/>
    <w:rPr>
      <w:sz w:val="22"/>
    </w:rPr>
  </w:style>
  <w:style w:type="paragraph" w:styleId="Footer">
    <w:name w:val="footer"/>
    <w:basedOn w:val="Normal"/>
    <w:link w:val="FooterChar"/>
    <w:uiPriority w:val="99"/>
    <w:semiHidden/>
    <w:unhideWhenUsed/>
    <w:rsid w:val="00D935B5"/>
    <w:pPr>
      <w:tabs>
        <w:tab w:val="center" w:pos="4680"/>
        <w:tab w:val="right" w:pos="9360"/>
      </w:tabs>
    </w:pPr>
  </w:style>
  <w:style w:type="character" w:customStyle="1" w:styleId="FooterChar">
    <w:name w:val="Footer Char"/>
    <w:basedOn w:val="DefaultParagraphFont"/>
    <w:link w:val="Footer"/>
    <w:uiPriority w:val="99"/>
    <w:semiHidden/>
    <w:rsid w:val="00D935B5"/>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HB1040-SAA</dc:title>
  <dc:subject/>
  <dc:creator>ASB</dc:creator>
  <cp:keywords/>
  <dc:description/>
  <cp:lastModifiedBy>Greg Tingle</cp:lastModifiedBy>
  <cp:revision>3</cp:revision>
  <dcterms:created xsi:type="dcterms:W3CDTF">2011-05-24T17:39:00Z</dcterms:created>
  <dcterms:modified xsi:type="dcterms:W3CDTF">2011-05-24T23:16:00Z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11.144.158</vt:lpwstr>
  </property>
  <property fmtid="{D5CDD505-2E9C-101B-9397-08002B2CF9AE}" pid="3" name="CCRF">
    <vt:lpwstr> </vt:lpwstr>
  </property>
</Properties>
</file>