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3C4E96" w:rsidTr="003C4E96">
        <w:trPr>
          <w:cantSplit/>
          <w:tblHeader/>
        </w:trPr>
        <w:tc>
          <w:tcPr>
            <w:tcW w:w="18713" w:type="dxa"/>
            <w:gridSpan w:val="3"/>
          </w:tcPr>
          <w:p w:rsidR="00022E8B" w:rsidRDefault="00883D57">
            <w:pPr>
              <w:ind w:left="650"/>
              <w:jc w:val="center"/>
            </w:pPr>
            <w:r>
              <w:rPr>
                <w:b/>
              </w:rPr>
              <w:t xml:space="preserve">House </w:t>
            </w:r>
            <w:smartTag w:uri="urn:schemas:contacts" w:element="GivenName">
              <w:r>
                <w:rPr>
                  <w:b/>
                </w:rPr>
                <w:t>Bill</w:t>
              </w:r>
            </w:smartTag>
            <w:r>
              <w:rPr>
                <w:b/>
              </w:rPr>
              <w:t xml:space="preserve">  2154</w:t>
            </w:r>
          </w:p>
          <w:p w:rsidR="00022E8B" w:rsidRDefault="00883D57">
            <w:pPr>
              <w:ind w:left="650"/>
              <w:jc w:val="center"/>
            </w:pPr>
            <w:r>
              <w:t>Senate Amendments</w:t>
            </w:r>
          </w:p>
          <w:p w:rsidR="00022E8B" w:rsidRDefault="00883D57">
            <w:pPr>
              <w:ind w:left="650"/>
              <w:jc w:val="center"/>
            </w:pPr>
            <w:r>
              <w:t>Section-by-Section Analysis</w:t>
            </w:r>
          </w:p>
          <w:p w:rsidR="00022E8B" w:rsidRDefault="00022E8B">
            <w:pPr>
              <w:jc w:val="center"/>
            </w:pPr>
          </w:p>
        </w:tc>
      </w:tr>
      <w:tr w:rsidR="00022E8B">
        <w:trPr>
          <w:cantSplit/>
          <w:tblHeader/>
        </w:trPr>
        <w:tc>
          <w:tcPr>
            <w:tcW w:w="1667" w:type="pct"/>
            <w:tcMar>
              <w:bottom w:w="188" w:type="dxa"/>
              <w:right w:w="0" w:type="dxa"/>
            </w:tcMar>
          </w:tcPr>
          <w:p w:rsidR="00022E8B" w:rsidRDefault="00883D57">
            <w:pPr>
              <w:jc w:val="center"/>
            </w:pPr>
            <w:r>
              <w:t>HOUSE VERSION</w:t>
            </w:r>
          </w:p>
        </w:tc>
        <w:tc>
          <w:tcPr>
            <w:tcW w:w="1667" w:type="pct"/>
            <w:tcMar>
              <w:bottom w:w="188" w:type="dxa"/>
              <w:right w:w="0" w:type="dxa"/>
            </w:tcMar>
          </w:tcPr>
          <w:p w:rsidR="00022E8B" w:rsidRDefault="00883D57">
            <w:pPr>
              <w:jc w:val="center"/>
            </w:pPr>
            <w:r>
              <w:t>SENATE VERSION (CS)</w:t>
            </w:r>
          </w:p>
        </w:tc>
        <w:tc>
          <w:tcPr>
            <w:tcW w:w="1667" w:type="pct"/>
            <w:tcMar>
              <w:bottom w:w="188" w:type="dxa"/>
              <w:right w:w="0" w:type="dxa"/>
            </w:tcMar>
          </w:tcPr>
          <w:p w:rsidR="00022E8B" w:rsidRDefault="00883D57">
            <w:pPr>
              <w:jc w:val="center"/>
            </w:pPr>
            <w:r>
              <w:t>CONFERENCE</w:t>
            </w:r>
          </w:p>
        </w:tc>
      </w:tr>
      <w:tr w:rsidR="00022E8B">
        <w:tc>
          <w:tcPr>
            <w:tcW w:w="6473" w:type="dxa"/>
          </w:tcPr>
          <w:p w:rsidR="00022E8B" w:rsidRDefault="00883D57">
            <w:pPr>
              <w:jc w:val="both"/>
            </w:pPr>
            <w:r>
              <w:t>SECTION 1.  Section 4004.155, Insurance Code, as added by Chapter 326 (H.B. 739), Acts of the 81st Legislature, Regular Session, 2009, is amended to read as follows:</w:t>
            </w:r>
          </w:p>
          <w:p w:rsidR="00022E8B" w:rsidRDefault="00883D57">
            <w:pPr>
              <w:jc w:val="both"/>
            </w:pPr>
            <w:r>
              <w:t>Sec. 4004.155.  [</w:t>
            </w:r>
            <w:r>
              <w:rPr>
                <w:strike/>
              </w:rPr>
              <w:t>NONAPPLICATION OF</w:t>
            </w:r>
            <w:r>
              <w:t xml:space="preserve">] CERTAIN EXEMPTIONS </w:t>
            </w:r>
            <w:r>
              <w:rPr>
                <w:u w:val="single"/>
              </w:rPr>
              <w:t>APPLICABLE</w:t>
            </w:r>
            <w:r>
              <w:t>.  The continuing education exemptions for certain agents established under Section 4004.052(b) and Section 9.02(e), Chapter 703 (S.B. 414), Acts of the 77th Legislature, Regular Session, 2001, [</w:t>
            </w:r>
            <w:r>
              <w:rPr>
                <w:strike/>
              </w:rPr>
              <w:t>do not</w:t>
            </w:r>
            <w:r>
              <w:t>] apply to requirements under this subchapter.</w:t>
            </w:r>
          </w:p>
        </w:tc>
        <w:tc>
          <w:tcPr>
            <w:tcW w:w="6480" w:type="dxa"/>
          </w:tcPr>
          <w:p w:rsidR="003C4E96" w:rsidRDefault="00883D57" w:rsidP="003C4E96">
            <w:pPr>
              <w:pStyle w:val="ListParagraph"/>
              <w:ind w:left="0"/>
              <w:rPr>
                <w:rFonts w:ascii="Calibri" w:hAnsi="Calibri"/>
                <w:sz w:val="22"/>
                <w:szCs w:val="22"/>
              </w:rPr>
            </w:pPr>
            <w:r w:rsidRPr="003C4E96">
              <w:rPr>
                <w:highlight w:val="yellow"/>
              </w:rPr>
              <w:t>No equivalent provision.</w:t>
            </w:r>
          </w:p>
          <w:p w:rsidR="00022E8B" w:rsidRDefault="00022E8B">
            <w:pPr>
              <w:jc w:val="both"/>
            </w:pPr>
          </w:p>
          <w:p w:rsidR="00022E8B" w:rsidRDefault="00022E8B">
            <w:pPr>
              <w:jc w:val="both"/>
            </w:pPr>
          </w:p>
        </w:tc>
        <w:tc>
          <w:tcPr>
            <w:tcW w:w="5760" w:type="dxa"/>
          </w:tcPr>
          <w:p w:rsidR="00022E8B" w:rsidRDefault="00022E8B">
            <w:pPr>
              <w:jc w:val="both"/>
            </w:pPr>
          </w:p>
        </w:tc>
      </w:tr>
      <w:tr w:rsidR="00022E8B">
        <w:tc>
          <w:tcPr>
            <w:tcW w:w="6473" w:type="dxa"/>
          </w:tcPr>
          <w:p w:rsidR="00022E8B" w:rsidRDefault="00883D57">
            <w:pPr>
              <w:jc w:val="both"/>
            </w:pPr>
            <w:r>
              <w:t>SECTION 2.  Section 4004.202, Insurance Code, is amended by amending Subsection (b) and adding Subsection (d) to read as follows:</w:t>
            </w:r>
          </w:p>
          <w:p w:rsidR="00022E8B" w:rsidRDefault="00883D57">
            <w:pPr>
              <w:jc w:val="both"/>
            </w:pPr>
            <w:r>
              <w:t xml:space="preserve">(b)  Each agent described by Subsection (a) must complete </w:t>
            </w:r>
            <w:r>
              <w:rPr>
                <w:u w:val="single"/>
              </w:rPr>
              <w:t>eight</w:t>
            </w:r>
            <w:r>
              <w:t xml:space="preserve"> [</w:t>
            </w:r>
            <w:r>
              <w:rPr>
                <w:strike/>
              </w:rPr>
              <w:t>four</w:t>
            </w:r>
            <w:r>
              <w:t>] hours of continuing education [</w:t>
            </w:r>
            <w:r>
              <w:rPr>
                <w:strike/>
              </w:rPr>
              <w:t>annually</w:t>
            </w:r>
            <w:r>
              <w:t xml:space="preserve">] that specifically relates to annuities </w:t>
            </w:r>
            <w:r>
              <w:rPr>
                <w:u w:val="single"/>
              </w:rPr>
              <w:t>during the agent's two-year licensing period</w:t>
            </w:r>
            <w:r>
              <w:t>.  [</w:t>
            </w:r>
            <w:r>
              <w:rPr>
                <w:strike/>
              </w:rPr>
              <w:t>The annual period under this section must be based on the agent's license expiration date or another date specified by the commissioner by rule, and the education requirement under this subsection must be met within that annual period, notwithstanding Section 4004.051(b).</w:t>
            </w:r>
            <w:r>
              <w:t>]</w:t>
            </w:r>
          </w:p>
          <w:p w:rsidR="00022E8B" w:rsidRDefault="00883D57">
            <w:pPr>
              <w:jc w:val="both"/>
            </w:pPr>
            <w:r w:rsidRPr="003C4E96">
              <w:rPr>
                <w:highlight w:val="yellow"/>
                <w:u w:val="single"/>
              </w:rPr>
              <w:t>(d)  The continuing education exemptions for certain agents established under Section 4004.052(b) and Section 9.02(e), Chapter 703 (S.B. 414), Acts of the 77th Legislature, Regular Session, 2001, apply to requirements under this subchapter.</w:t>
            </w:r>
          </w:p>
        </w:tc>
        <w:tc>
          <w:tcPr>
            <w:tcW w:w="6480" w:type="dxa"/>
          </w:tcPr>
          <w:p w:rsidR="00022E8B" w:rsidRDefault="00883D57">
            <w:pPr>
              <w:jc w:val="both"/>
            </w:pPr>
            <w:r>
              <w:t>SECTION 1.  Section 4004.202(b), Insurance Code, is amended to read as follows:</w:t>
            </w:r>
          </w:p>
          <w:p w:rsidR="003C4E96" w:rsidRDefault="003C4E96">
            <w:pPr>
              <w:jc w:val="both"/>
            </w:pPr>
          </w:p>
          <w:p w:rsidR="00022E8B" w:rsidRDefault="00883D57">
            <w:pPr>
              <w:jc w:val="both"/>
            </w:pPr>
            <w:r>
              <w:t xml:space="preserve">(b)  Each agent described by Subsection (a) must complete </w:t>
            </w:r>
            <w:r>
              <w:rPr>
                <w:u w:val="single"/>
              </w:rPr>
              <w:t>eight</w:t>
            </w:r>
            <w:r>
              <w:t xml:space="preserve"> [</w:t>
            </w:r>
            <w:r>
              <w:rPr>
                <w:strike/>
              </w:rPr>
              <w:t>four</w:t>
            </w:r>
            <w:r>
              <w:t>] hours of continuing education [</w:t>
            </w:r>
            <w:r>
              <w:rPr>
                <w:strike/>
              </w:rPr>
              <w:t>annually</w:t>
            </w:r>
            <w:r>
              <w:t xml:space="preserve">] that specifically relates to annuities </w:t>
            </w:r>
            <w:r>
              <w:rPr>
                <w:u w:val="single"/>
              </w:rPr>
              <w:t>during the agent's two-year licensing period</w:t>
            </w:r>
            <w:r>
              <w:t>.  [</w:t>
            </w:r>
            <w:r>
              <w:rPr>
                <w:strike/>
              </w:rPr>
              <w:t>The annual period under this section must be based on the agent's license expiration date or another date specified by the commissioner by rule, and the education requirement under this subsection must be met within that annual period, notwithstanding Section 4004.051(b).</w:t>
            </w:r>
            <w:r>
              <w:t>]</w:t>
            </w:r>
          </w:p>
          <w:p w:rsidR="00022E8B" w:rsidRDefault="00022E8B">
            <w:pPr>
              <w:jc w:val="both"/>
            </w:pPr>
          </w:p>
        </w:tc>
        <w:tc>
          <w:tcPr>
            <w:tcW w:w="5760" w:type="dxa"/>
          </w:tcPr>
          <w:p w:rsidR="00022E8B" w:rsidRDefault="00022E8B">
            <w:pPr>
              <w:jc w:val="both"/>
            </w:pPr>
          </w:p>
        </w:tc>
      </w:tr>
      <w:tr w:rsidR="00022E8B">
        <w:tc>
          <w:tcPr>
            <w:tcW w:w="6473" w:type="dxa"/>
          </w:tcPr>
          <w:p w:rsidR="00022E8B" w:rsidRDefault="00883D57">
            <w:pPr>
              <w:jc w:val="both"/>
            </w:pPr>
            <w:r>
              <w:t>SECTION 3.  This Act takes effect September 1, 2011.</w:t>
            </w:r>
          </w:p>
        </w:tc>
        <w:tc>
          <w:tcPr>
            <w:tcW w:w="6480" w:type="dxa"/>
          </w:tcPr>
          <w:p w:rsidR="00022E8B" w:rsidRDefault="00883D57">
            <w:pPr>
              <w:jc w:val="both"/>
            </w:pPr>
            <w:r>
              <w:t>SECTION 2. Same as House version.</w:t>
            </w:r>
          </w:p>
          <w:p w:rsidR="00022E8B" w:rsidRDefault="00022E8B">
            <w:pPr>
              <w:jc w:val="both"/>
            </w:pPr>
          </w:p>
        </w:tc>
        <w:tc>
          <w:tcPr>
            <w:tcW w:w="5760" w:type="dxa"/>
          </w:tcPr>
          <w:p w:rsidR="00022E8B" w:rsidRDefault="00022E8B">
            <w:pPr>
              <w:jc w:val="both"/>
            </w:pPr>
          </w:p>
        </w:tc>
      </w:tr>
    </w:tbl>
    <w:p w:rsidR="005C606E" w:rsidRDefault="005C606E"/>
    <w:sectPr w:rsidR="005C606E" w:rsidSect="00022E8B">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E8B" w:rsidRDefault="00022E8B" w:rsidP="00022E8B">
      <w:r>
        <w:separator/>
      </w:r>
    </w:p>
  </w:endnote>
  <w:endnote w:type="continuationSeparator" w:id="0">
    <w:p w:rsidR="00022E8B" w:rsidRDefault="00022E8B" w:rsidP="00022E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F" w:rsidRDefault="002631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8B" w:rsidRDefault="00AE6AF2">
    <w:pPr>
      <w:tabs>
        <w:tab w:val="center" w:pos="9360"/>
        <w:tab w:val="right" w:pos="18720"/>
      </w:tabs>
    </w:pPr>
    <w:fldSimple w:instr=" DOCPROPERTY  CCRF  \* MERGEFORMAT ">
      <w:r w:rsidR="0026314F">
        <w:t xml:space="preserve"> </w:t>
      </w:r>
    </w:fldSimple>
    <w:r w:rsidR="00883D57">
      <w:tab/>
    </w:r>
    <w:r>
      <w:fldChar w:fldCharType="begin"/>
    </w:r>
    <w:r w:rsidR="00883D57">
      <w:instrText xml:space="preserve"> PAGE </w:instrText>
    </w:r>
    <w:r>
      <w:fldChar w:fldCharType="separate"/>
    </w:r>
    <w:r w:rsidR="00F90B50">
      <w:rPr>
        <w:noProof/>
      </w:rPr>
      <w:t>1</w:t>
    </w:r>
    <w:r>
      <w:fldChar w:fldCharType="end"/>
    </w:r>
    <w:r w:rsidR="00883D57">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F" w:rsidRDefault="002631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E8B" w:rsidRDefault="00022E8B" w:rsidP="00022E8B">
      <w:r>
        <w:separator/>
      </w:r>
    </w:p>
  </w:footnote>
  <w:footnote w:type="continuationSeparator" w:id="0">
    <w:p w:rsidR="00022E8B" w:rsidRDefault="00022E8B" w:rsidP="00022E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F" w:rsidRDefault="002631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F" w:rsidRDefault="002631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F" w:rsidRDefault="002631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F13C0"/>
    <w:multiLevelType w:val="hybridMultilevel"/>
    <w:tmpl w:val="40D6C1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attachedTemplate r:id="rId1"/>
  <w:defaultTabStop w:val="720"/>
  <w:characterSpacingControl w:val="doNotCompress"/>
  <w:footnotePr>
    <w:footnote w:id="-1"/>
    <w:footnote w:id="0"/>
  </w:footnotePr>
  <w:endnotePr>
    <w:endnote w:id="-1"/>
    <w:endnote w:id="0"/>
  </w:endnotePr>
  <w:compat/>
  <w:rsids>
    <w:rsidRoot w:val="00022E8B"/>
    <w:rsid w:val="00022E8B"/>
    <w:rsid w:val="0026314F"/>
    <w:rsid w:val="003C4E96"/>
    <w:rsid w:val="005C606E"/>
    <w:rsid w:val="00784A8B"/>
    <w:rsid w:val="00883D57"/>
    <w:rsid w:val="00AE6AF2"/>
    <w:rsid w:val="00B22020"/>
    <w:rsid w:val="00DE4EAC"/>
    <w:rsid w:val="00F71A34"/>
    <w:rsid w:val="00F90B50"/>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E8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E96"/>
    <w:pPr>
      <w:ind w:left="720"/>
    </w:pPr>
    <w:rPr>
      <w:rFonts w:eastAsiaTheme="minorHAnsi"/>
      <w:sz w:val="24"/>
      <w:szCs w:val="24"/>
    </w:rPr>
  </w:style>
  <w:style w:type="paragraph" w:styleId="Header">
    <w:name w:val="header"/>
    <w:basedOn w:val="Normal"/>
    <w:link w:val="HeaderChar"/>
    <w:uiPriority w:val="99"/>
    <w:semiHidden/>
    <w:unhideWhenUsed/>
    <w:rsid w:val="0026314F"/>
    <w:pPr>
      <w:tabs>
        <w:tab w:val="center" w:pos="4680"/>
        <w:tab w:val="right" w:pos="9360"/>
      </w:tabs>
    </w:pPr>
  </w:style>
  <w:style w:type="character" w:customStyle="1" w:styleId="HeaderChar">
    <w:name w:val="Header Char"/>
    <w:basedOn w:val="DefaultParagraphFont"/>
    <w:link w:val="Header"/>
    <w:uiPriority w:val="99"/>
    <w:semiHidden/>
    <w:rsid w:val="0026314F"/>
    <w:rPr>
      <w:sz w:val="22"/>
    </w:rPr>
  </w:style>
  <w:style w:type="paragraph" w:styleId="Footer">
    <w:name w:val="footer"/>
    <w:basedOn w:val="Normal"/>
    <w:link w:val="FooterChar"/>
    <w:uiPriority w:val="99"/>
    <w:semiHidden/>
    <w:unhideWhenUsed/>
    <w:rsid w:val="0026314F"/>
    <w:pPr>
      <w:tabs>
        <w:tab w:val="center" w:pos="4680"/>
        <w:tab w:val="right" w:pos="9360"/>
      </w:tabs>
    </w:pPr>
  </w:style>
  <w:style w:type="character" w:customStyle="1" w:styleId="FooterChar">
    <w:name w:val="Footer Char"/>
    <w:basedOn w:val="DefaultParagraphFont"/>
    <w:link w:val="Footer"/>
    <w:uiPriority w:val="99"/>
    <w:semiHidden/>
    <w:rsid w:val="0026314F"/>
    <w:rPr>
      <w:sz w:val="22"/>
    </w:rPr>
  </w:style>
</w:styles>
</file>

<file path=word/webSettings.xml><?xml version="1.0" encoding="utf-8"?>
<w:webSettings xmlns:r="http://schemas.openxmlformats.org/officeDocument/2006/relationships" xmlns:w="http://schemas.openxmlformats.org/wordprocessingml/2006/main">
  <w:divs>
    <w:div w:id="53851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HB2154-SAA</dc:title>
  <dc:subject/>
  <dc:creator>MJP</dc:creator>
  <cp:keywords/>
  <dc:description/>
  <cp:lastModifiedBy>Greg Tingle</cp:lastModifiedBy>
  <cp:revision>3</cp:revision>
  <dcterms:created xsi:type="dcterms:W3CDTF">2011-05-17T18:41:00Z</dcterms:created>
  <dcterms:modified xsi:type="dcterms:W3CDTF">2011-05-24T22:48:00Z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11.137.305</vt:lpwstr>
  </property>
  <property fmtid="{D5CDD505-2E9C-101B-9397-08002B2CF9AE}" pid="3" name="CCRF">
    <vt:lpwstr> </vt:lpwstr>
  </property>
</Properties>
</file>