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3C2D6E" w:rsidTr="003C2D6E">
        <w:trPr>
          <w:cantSplit/>
          <w:tblHeader/>
        </w:trPr>
        <w:tc>
          <w:tcPr>
            <w:tcW w:w="18713" w:type="dxa"/>
            <w:gridSpan w:val="3"/>
          </w:tcPr>
          <w:p w:rsidR="00BE1B6C" w:rsidRDefault="006D3B2B">
            <w:pPr>
              <w:ind w:left="650"/>
              <w:jc w:val="center"/>
            </w:pPr>
            <w:r>
              <w:rPr>
                <w:b/>
              </w:rPr>
              <w:t xml:space="preserve">House </w:t>
            </w:r>
            <w:smartTag w:uri="urn:schemas:contacts" w:element="GivenName">
              <w:r>
                <w:rPr>
                  <w:b/>
                </w:rPr>
                <w:t>Bill</w:t>
              </w:r>
            </w:smartTag>
            <w:r>
              <w:rPr>
                <w:b/>
              </w:rPr>
              <w:t xml:space="preserve">  2313</w:t>
            </w:r>
          </w:p>
          <w:p w:rsidR="00BE1B6C" w:rsidRDefault="006D3B2B">
            <w:pPr>
              <w:ind w:left="650"/>
              <w:jc w:val="center"/>
            </w:pPr>
            <w:r>
              <w:t>Senate Amendments</w:t>
            </w:r>
          </w:p>
          <w:p w:rsidR="00BE1B6C" w:rsidRDefault="006D3B2B">
            <w:pPr>
              <w:ind w:left="650"/>
              <w:jc w:val="center"/>
            </w:pPr>
            <w:r>
              <w:t>Section-by-Section Analysis</w:t>
            </w:r>
          </w:p>
          <w:p w:rsidR="00BE1B6C" w:rsidRDefault="00BE1B6C">
            <w:pPr>
              <w:jc w:val="center"/>
            </w:pPr>
          </w:p>
        </w:tc>
      </w:tr>
      <w:tr w:rsidR="00BE1B6C">
        <w:trPr>
          <w:cantSplit/>
          <w:tblHeader/>
        </w:trPr>
        <w:tc>
          <w:tcPr>
            <w:tcW w:w="1667" w:type="pct"/>
            <w:tcMar>
              <w:bottom w:w="188" w:type="dxa"/>
              <w:right w:w="0" w:type="dxa"/>
            </w:tcMar>
          </w:tcPr>
          <w:p w:rsidR="00BE1B6C" w:rsidRDefault="006D3B2B">
            <w:pPr>
              <w:jc w:val="center"/>
            </w:pPr>
            <w:r>
              <w:t>HOUSE VERSION</w:t>
            </w:r>
          </w:p>
        </w:tc>
        <w:tc>
          <w:tcPr>
            <w:tcW w:w="1667" w:type="pct"/>
            <w:tcMar>
              <w:bottom w:w="188" w:type="dxa"/>
              <w:right w:w="0" w:type="dxa"/>
            </w:tcMar>
          </w:tcPr>
          <w:p w:rsidR="00BE1B6C" w:rsidRDefault="006D3B2B">
            <w:pPr>
              <w:jc w:val="center"/>
            </w:pPr>
            <w:r>
              <w:t>SENATE VERSION (CS)</w:t>
            </w:r>
          </w:p>
        </w:tc>
        <w:tc>
          <w:tcPr>
            <w:tcW w:w="1667" w:type="pct"/>
            <w:tcMar>
              <w:bottom w:w="188" w:type="dxa"/>
              <w:right w:w="0" w:type="dxa"/>
            </w:tcMar>
          </w:tcPr>
          <w:p w:rsidR="00BE1B6C" w:rsidRDefault="006D3B2B">
            <w:pPr>
              <w:jc w:val="center"/>
            </w:pPr>
            <w:r>
              <w:t>CONFERENCE</w:t>
            </w:r>
          </w:p>
        </w:tc>
      </w:tr>
      <w:tr w:rsidR="00BE1B6C">
        <w:tc>
          <w:tcPr>
            <w:tcW w:w="6473" w:type="dxa"/>
          </w:tcPr>
          <w:p w:rsidR="00BE1B6C" w:rsidRDefault="006D3B2B">
            <w:pPr>
              <w:jc w:val="both"/>
            </w:pPr>
            <w:r>
              <w:t>SECTION 1.  Section 551.0415, Government Code, is amended to read as follows:</w:t>
            </w:r>
          </w:p>
          <w:p w:rsidR="00BE1B6C" w:rsidRDefault="006D3B2B">
            <w:pPr>
              <w:jc w:val="both"/>
            </w:pPr>
            <w:r>
              <w:t xml:space="preserve">Sec. 551.0415.  GOVERNING BODY OF MUNICIPALITY </w:t>
            </w:r>
            <w:r>
              <w:rPr>
                <w:u w:val="single"/>
              </w:rPr>
              <w:t>OR COUNTY</w:t>
            </w:r>
            <w:r>
              <w:t xml:space="preserve">:  REPORTS ABOUT ITEMS OF COMMUNITY INTEREST REGARDING WHICH NO ACTION WILL BE TAKEN.  (a)  Notwithstanding Sections 551.041 and 551.042, a quorum of the governing body of a municipality </w:t>
            </w:r>
            <w:r>
              <w:rPr>
                <w:u w:val="single"/>
              </w:rPr>
              <w:t>or county</w:t>
            </w:r>
            <w:r>
              <w:t xml:space="preserve"> may receive from [</w:t>
            </w:r>
            <w:r>
              <w:rPr>
                <w:strike/>
              </w:rPr>
              <w:t>municipal</w:t>
            </w:r>
            <w:r>
              <w:t xml:space="preserve">] staff </w:t>
            </w:r>
            <w:r>
              <w:rPr>
                <w:u w:val="single"/>
              </w:rPr>
              <w:t>of the political subdivision</w:t>
            </w:r>
            <w:r>
              <w:t xml:space="preserve"> and a member of the governing body may make a report about items of community interest during a meeting of the governing body without having given notice of the subject of the report as required by this subchapter if no action is taken and, except as provided by Section 551.042, possible action is not discussed regarding the information provided in the report.</w:t>
            </w:r>
          </w:p>
          <w:p w:rsidR="00BE1B6C" w:rsidRDefault="006D3B2B">
            <w:pPr>
              <w:jc w:val="both"/>
            </w:pPr>
            <w:r>
              <w:t>(b)  For purposes of Subsection (a), "items of community interest" includes:</w:t>
            </w:r>
          </w:p>
          <w:p w:rsidR="00BE1B6C" w:rsidRDefault="006D3B2B">
            <w:pPr>
              <w:jc w:val="both"/>
            </w:pPr>
            <w:r>
              <w:t>(1)  expressions of thanks, congratulations, or condolence;</w:t>
            </w:r>
          </w:p>
          <w:p w:rsidR="00BE1B6C" w:rsidRDefault="006D3B2B">
            <w:pPr>
              <w:jc w:val="both"/>
            </w:pPr>
            <w:r>
              <w:t>(2)  information regarding holiday schedules;</w:t>
            </w:r>
          </w:p>
          <w:p w:rsidR="00BE1B6C" w:rsidRDefault="006D3B2B">
            <w:pPr>
              <w:jc w:val="both"/>
            </w:pPr>
            <w:r>
              <w:t>(3)  an honorary or salutary recognition of a public official, public employee, or other citizen, except that a discussion regarding a change in the status of a person's public office or public employment is not an honorary or salutary recognition for purposes of this subdivision;</w:t>
            </w:r>
          </w:p>
          <w:p w:rsidR="00BE1B6C" w:rsidRDefault="006D3B2B">
            <w:pPr>
              <w:jc w:val="both"/>
            </w:pPr>
            <w:r>
              <w:t>(4)  a reminder about an upcoming event organized or sponsored by the governing body;</w:t>
            </w:r>
          </w:p>
          <w:p w:rsidR="00BE1B6C" w:rsidRDefault="006D3B2B">
            <w:pPr>
              <w:jc w:val="both"/>
            </w:pPr>
            <w:r>
              <w:t xml:space="preserve">(5)  information regarding a social, ceremonial, or community event organized or sponsored by an entity other than the governing body that was attended or is scheduled to be attended by a member of the governing body or an official or employee of the </w:t>
            </w:r>
            <w:r>
              <w:rPr>
                <w:u w:val="single"/>
              </w:rPr>
              <w:t>political subdivision</w:t>
            </w:r>
            <w:r>
              <w:t xml:space="preserve"> [</w:t>
            </w:r>
            <w:r>
              <w:rPr>
                <w:strike/>
              </w:rPr>
              <w:t>municipality</w:t>
            </w:r>
            <w:r>
              <w:t>]; and</w:t>
            </w:r>
          </w:p>
          <w:p w:rsidR="00BE1B6C" w:rsidRDefault="006D3B2B">
            <w:pPr>
              <w:jc w:val="both"/>
            </w:pPr>
            <w:r>
              <w:t xml:space="preserve">(6)  announcements involving an imminent threat to the public </w:t>
            </w:r>
            <w:r>
              <w:lastRenderedPageBreak/>
              <w:t xml:space="preserve">health and safety of people in the </w:t>
            </w:r>
            <w:r>
              <w:rPr>
                <w:u w:val="single"/>
              </w:rPr>
              <w:t>political subdivision</w:t>
            </w:r>
            <w:r>
              <w:t xml:space="preserve"> [</w:t>
            </w:r>
            <w:r>
              <w:rPr>
                <w:strike/>
              </w:rPr>
              <w:t>municipality</w:t>
            </w:r>
            <w:r>
              <w:t>] that has arisen after the posting of the agenda.</w:t>
            </w:r>
          </w:p>
          <w:p w:rsidR="00BE1B6C" w:rsidRDefault="00BE1B6C">
            <w:pPr>
              <w:jc w:val="both"/>
            </w:pPr>
          </w:p>
        </w:tc>
        <w:tc>
          <w:tcPr>
            <w:tcW w:w="6480" w:type="dxa"/>
          </w:tcPr>
          <w:p w:rsidR="00BE1B6C" w:rsidRDefault="006D3B2B">
            <w:pPr>
              <w:jc w:val="both"/>
            </w:pPr>
            <w:r>
              <w:lastRenderedPageBreak/>
              <w:t>SECTION 1. Same as House version.</w:t>
            </w:r>
          </w:p>
          <w:p w:rsidR="00BE1B6C" w:rsidRDefault="00BE1B6C">
            <w:pPr>
              <w:jc w:val="both"/>
            </w:pPr>
          </w:p>
          <w:p w:rsidR="00BE1B6C" w:rsidRDefault="00BE1B6C">
            <w:pPr>
              <w:jc w:val="both"/>
            </w:pPr>
          </w:p>
        </w:tc>
        <w:tc>
          <w:tcPr>
            <w:tcW w:w="5760" w:type="dxa"/>
          </w:tcPr>
          <w:p w:rsidR="00BE1B6C" w:rsidRDefault="00BE1B6C">
            <w:pPr>
              <w:jc w:val="both"/>
            </w:pPr>
          </w:p>
        </w:tc>
      </w:tr>
      <w:tr w:rsidR="00BE1B6C">
        <w:tc>
          <w:tcPr>
            <w:tcW w:w="6473" w:type="dxa"/>
          </w:tcPr>
          <w:p w:rsidR="00BE1B6C" w:rsidRDefault="006D3B2B">
            <w:pPr>
              <w:jc w:val="both"/>
            </w:pPr>
            <w:r>
              <w:lastRenderedPageBreak/>
              <w:t>SECTION 2.  Section 551.050, Government Code, is amended to read as follows:</w:t>
            </w:r>
          </w:p>
          <w:p w:rsidR="003C2D6E" w:rsidRDefault="006D3B2B">
            <w:pPr>
              <w:jc w:val="both"/>
            </w:pPr>
            <w:r>
              <w:t xml:space="preserve">Sec. 551.050.  MUNICIPAL GOVERNMENTAL BODY:  PLACE OF POSTING NOTICE.  </w:t>
            </w:r>
          </w:p>
          <w:p w:rsidR="003C2D6E" w:rsidRDefault="003C2D6E">
            <w:pPr>
              <w:jc w:val="both"/>
            </w:pPr>
          </w:p>
          <w:p w:rsidR="003C2D6E" w:rsidRDefault="003C2D6E">
            <w:pPr>
              <w:jc w:val="both"/>
            </w:pPr>
          </w:p>
          <w:p w:rsidR="003C2D6E" w:rsidRDefault="003C2D6E">
            <w:pPr>
              <w:jc w:val="both"/>
            </w:pPr>
          </w:p>
          <w:p w:rsidR="003C2D6E" w:rsidRDefault="003C2D6E">
            <w:pPr>
              <w:jc w:val="both"/>
            </w:pPr>
          </w:p>
          <w:p w:rsidR="00BE1B6C" w:rsidRDefault="006D3B2B">
            <w:pPr>
              <w:jc w:val="both"/>
            </w:pPr>
            <w:r>
              <w:rPr>
                <w:u w:val="single"/>
              </w:rPr>
              <w:t>(a)</w:t>
            </w:r>
            <w:r>
              <w:t xml:space="preserve"> A municipal governmental body</w:t>
            </w:r>
            <w:r>
              <w:rPr>
                <w:u w:val="single"/>
              </w:rPr>
              <w:t>:</w:t>
            </w:r>
          </w:p>
          <w:p w:rsidR="00BE1B6C" w:rsidRPr="003C2D6E" w:rsidRDefault="006D3B2B">
            <w:pPr>
              <w:jc w:val="both"/>
              <w:rPr>
                <w:highlight w:val="yellow"/>
              </w:rPr>
            </w:pPr>
            <w:r>
              <w:rPr>
                <w:u w:val="single"/>
              </w:rPr>
              <w:t>(1)</w:t>
            </w:r>
            <w:r>
              <w:t xml:space="preserve">  shall post notice of each meeting on a bulletin board at a place convenient to the public in the city hall</w:t>
            </w:r>
            <w:r w:rsidRPr="003C2D6E">
              <w:rPr>
                <w:highlight w:val="yellow"/>
                <w:u w:val="single"/>
              </w:rPr>
              <w:t>; and</w:t>
            </w:r>
          </w:p>
          <w:p w:rsidR="00BE1B6C" w:rsidRPr="003C2D6E" w:rsidRDefault="006D3B2B">
            <w:pPr>
              <w:jc w:val="both"/>
              <w:rPr>
                <w:highlight w:val="yellow"/>
              </w:rPr>
            </w:pPr>
            <w:r w:rsidRPr="003C2D6E">
              <w:rPr>
                <w:highlight w:val="yellow"/>
                <w:u w:val="single"/>
              </w:rPr>
              <w:t>(2)  may post notice of each meeting on the municipality's official Internet website</w:t>
            </w:r>
            <w:r w:rsidRPr="003C2D6E">
              <w:rPr>
                <w:highlight w:val="yellow"/>
              </w:rPr>
              <w:t>.</w:t>
            </w:r>
          </w:p>
          <w:p w:rsidR="00BE1B6C" w:rsidRDefault="006D3B2B">
            <w:pPr>
              <w:jc w:val="both"/>
            </w:pPr>
            <w:r w:rsidRPr="003C2D6E">
              <w:rPr>
                <w:highlight w:val="yellow"/>
                <w:u w:val="single"/>
              </w:rPr>
              <w:t>(b)  A municipal governmental body posting notice on the Internet under Subsection (a) shall provide during regular office hours a computer terminal at certain municipal facilities convenient to the public that members of the public may use to view notices of meetings posted by the municipality.</w:t>
            </w:r>
          </w:p>
          <w:p w:rsidR="00BE1B6C" w:rsidRDefault="00BE1B6C">
            <w:pPr>
              <w:jc w:val="both"/>
            </w:pPr>
          </w:p>
        </w:tc>
        <w:tc>
          <w:tcPr>
            <w:tcW w:w="6480" w:type="dxa"/>
          </w:tcPr>
          <w:p w:rsidR="00BE1B6C" w:rsidRDefault="006D3B2B">
            <w:pPr>
              <w:jc w:val="both"/>
            </w:pPr>
            <w:r>
              <w:t>SECTION 2.  Section 551.050, Government Code, is amended to read as follows:</w:t>
            </w:r>
          </w:p>
          <w:p w:rsidR="00BE1B6C" w:rsidRDefault="006D3B2B">
            <w:pPr>
              <w:jc w:val="both"/>
            </w:pPr>
            <w:r>
              <w:t xml:space="preserve">Sec. 551.050.  MUNICIPAL GOVERNMENTAL BODY: PLACE OF POSTING NOTICE.  </w:t>
            </w:r>
            <w:r>
              <w:rPr>
                <w:u w:val="single"/>
              </w:rPr>
              <w:t xml:space="preserve">(a)  </w:t>
            </w:r>
            <w:r w:rsidRPr="003C2D6E">
              <w:rPr>
                <w:highlight w:val="yellow"/>
                <w:u w:val="single"/>
              </w:rPr>
              <w:t>In this section, "electronic bulletin board" means an electronic communication system that includes a perpetually illuminated screen on which the governmental body can post messages or notices viewable without manipulation by the public.</w:t>
            </w:r>
          </w:p>
          <w:p w:rsidR="00BE1B6C" w:rsidRDefault="006D3B2B">
            <w:pPr>
              <w:jc w:val="both"/>
            </w:pPr>
            <w:r>
              <w:rPr>
                <w:u w:val="single"/>
              </w:rPr>
              <w:t>(b)</w:t>
            </w:r>
            <w:r>
              <w:t xml:space="preserve">  A municipal governmental body shall post notice of each meeting on a </w:t>
            </w:r>
            <w:r w:rsidRPr="003C2D6E">
              <w:rPr>
                <w:highlight w:val="yellow"/>
                <w:u w:val="single"/>
              </w:rPr>
              <w:t>physical or electronic</w:t>
            </w:r>
            <w:r>
              <w:t xml:space="preserve"> bulletin board at a place convenient to the public in the city hall.</w:t>
            </w:r>
          </w:p>
          <w:p w:rsidR="00BE1B6C" w:rsidRDefault="00BE1B6C">
            <w:pPr>
              <w:jc w:val="both"/>
            </w:pPr>
          </w:p>
        </w:tc>
        <w:tc>
          <w:tcPr>
            <w:tcW w:w="5760" w:type="dxa"/>
          </w:tcPr>
          <w:p w:rsidR="00BE1B6C" w:rsidRDefault="00BE1B6C">
            <w:pPr>
              <w:jc w:val="both"/>
            </w:pPr>
          </w:p>
        </w:tc>
      </w:tr>
      <w:tr w:rsidR="00BE1B6C">
        <w:tc>
          <w:tcPr>
            <w:tcW w:w="6473" w:type="dxa"/>
          </w:tcPr>
          <w:p w:rsidR="00BE1B6C" w:rsidRDefault="006D3B2B">
            <w:pPr>
              <w:jc w:val="both"/>
            </w:pPr>
            <w:r>
              <w:t>SECTION 3.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p w:rsidR="00BE1B6C" w:rsidRDefault="00BE1B6C">
            <w:pPr>
              <w:jc w:val="both"/>
            </w:pPr>
          </w:p>
        </w:tc>
        <w:tc>
          <w:tcPr>
            <w:tcW w:w="6480" w:type="dxa"/>
          </w:tcPr>
          <w:p w:rsidR="00BE1B6C" w:rsidRDefault="006D3B2B">
            <w:pPr>
              <w:jc w:val="both"/>
            </w:pPr>
            <w:r>
              <w:t>SECTION 3. Same as House version.</w:t>
            </w:r>
          </w:p>
          <w:p w:rsidR="00BE1B6C" w:rsidRDefault="00BE1B6C">
            <w:pPr>
              <w:jc w:val="both"/>
            </w:pPr>
          </w:p>
          <w:p w:rsidR="00BE1B6C" w:rsidRDefault="00BE1B6C">
            <w:pPr>
              <w:jc w:val="both"/>
            </w:pPr>
          </w:p>
        </w:tc>
        <w:tc>
          <w:tcPr>
            <w:tcW w:w="5760" w:type="dxa"/>
          </w:tcPr>
          <w:p w:rsidR="00BE1B6C" w:rsidRDefault="00BE1B6C">
            <w:pPr>
              <w:jc w:val="both"/>
            </w:pPr>
          </w:p>
        </w:tc>
      </w:tr>
    </w:tbl>
    <w:p w:rsidR="009261A2" w:rsidRDefault="009261A2"/>
    <w:sectPr w:rsidR="009261A2" w:rsidSect="00BE1B6C">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B6C" w:rsidRDefault="00BE1B6C" w:rsidP="00BE1B6C">
      <w:r>
        <w:separator/>
      </w:r>
    </w:p>
  </w:endnote>
  <w:endnote w:type="continuationSeparator" w:id="0">
    <w:p w:rsidR="00BE1B6C" w:rsidRDefault="00BE1B6C" w:rsidP="00BE1B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3" w:rsidRDefault="004D07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B6C" w:rsidRDefault="00776F88">
    <w:pPr>
      <w:tabs>
        <w:tab w:val="center" w:pos="9360"/>
        <w:tab w:val="right" w:pos="18720"/>
      </w:tabs>
    </w:pPr>
    <w:fldSimple w:instr=" DOCPROPERTY  CCRF  \* MERGEFORMAT ">
      <w:r w:rsidR="004D0773">
        <w:t xml:space="preserve"> </w:t>
      </w:r>
    </w:fldSimple>
    <w:r w:rsidR="006D3B2B">
      <w:tab/>
    </w:r>
    <w:r>
      <w:fldChar w:fldCharType="begin"/>
    </w:r>
    <w:r w:rsidR="006D3B2B">
      <w:instrText xml:space="preserve"> PAGE </w:instrText>
    </w:r>
    <w:r>
      <w:fldChar w:fldCharType="separate"/>
    </w:r>
    <w:r w:rsidR="004A302A">
      <w:rPr>
        <w:noProof/>
      </w:rPr>
      <w:t>1</w:t>
    </w:r>
    <w:r>
      <w:fldChar w:fldCharType="end"/>
    </w:r>
    <w:r w:rsidR="006D3B2B">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3" w:rsidRDefault="004D07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B6C" w:rsidRDefault="00BE1B6C" w:rsidP="00BE1B6C">
      <w:r>
        <w:separator/>
      </w:r>
    </w:p>
  </w:footnote>
  <w:footnote w:type="continuationSeparator" w:id="0">
    <w:p w:rsidR="00BE1B6C" w:rsidRDefault="00BE1B6C" w:rsidP="00BE1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3" w:rsidRDefault="004D07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3" w:rsidRDefault="004D07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773" w:rsidRDefault="004D07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BE1B6C"/>
    <w:rsid w:val="001502C4"/>
    <w:rsid w:val="003C2D6E"/>
    <w:rsid w:val="004A302A"/>
    <w:rsid w:val="004D0773"/>
    <w:rsid w:val="006A5689"/>
    <w:rsid w:val="006D3B2B"/>
    <w:rsid w:val="00776F88"/>
    <w:rsid w:val="009261A2"/>
    <w:rsid w:val="00BE1B6C"/>
    <w:rsid w:val="00EA5ADA"/>
    <w:rsid w:val="00F6426E"/>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6C"/>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0773"/>
    <w:pPr>
      <w:tabs>
        <w:tab w:val="center" w:pos="4680"/>
        <w:tab w:val="right" w:pos="9360"/>
      </w:tabs>
    </w:pPr>
  </w:style>
  <w:style w:type="character" w:customStyle="1" w:styleId="HeaderChar">
    <w:name w:val="Header Char"/>
    <w:basedOn w:val="DefaultParagraphFont"/>
    <w:link w:val="Header"/>
    <w:uiPriority w:val="99"/>
    <w:semiHidden/>
    <w:rsid w:val="004D0773"/>
    <w:rPr>
      <w:sz w:val="22"/>
    </w:rPr>
  </w:style>
  <w:style w:type="paragraph" w:styleId="Footer">
    <w:name w:val="footer"/>
    <w:basedOn w:val="Normal"/>
    <w:link w:val="FooterChar"/>
    <w:uiPriority w:val="99"/>
    <w:semiHidden/>
    <w:unhideWhenUsed/>
    <w:rsid w:val="004D0773"/>
    <w:pPr>
      <w:tabs>
        <w:tab w:val="center" w:pos="4680"/>
        <w:tab w:val="right" w:pos="9360"/>
      </w:tabs>
    </w:pPr>
  </w:style>
  <w:style w:type="character" w:customStyle="1" w:styleId="FooterChar">
    <w:name w:val="Footer Char"/>
    <w:basedOn w:val="DefaultParagraphFont"/>
    <w:link w:val="Footer"/>
    <w:uiPriority w:val="99"/>
    <w:semiHidden/>
    <w:rsid w:val="004D0773"/>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2</Pages>
  <Words>525</Words>
  <Characters>2994</Characters>
  <Application>Microsoft Office Word</Application>
  <DocSecurity>0</DocSecurity>
  <Lines>24</Lines>
  <Paragraphs>7</Paragraphs>
  <ScaleCrop>false</ScaleCrop>
  <Company/>
  <LinksUpToDate>false</LinksUpToDate>
  <CharactersWithSpaces>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HB2313-SAA</dc:title>
  <dc:subject/>
  <dc:creator>mxc</dc:creator>
  <cp:keywords/>
  <dc:description/>
  <cp:lastModifiedBy>Greg Tingle</cp:lastModifiedBy>
  <cp:revision>3</cp:revision>
  <dcterms:created xsi:type="dcterms:W3CDTF">2011-05-24T19:55:00Z</dcterms:created>
  <dcterms:modified xsi:type="dcterms:W3CDTF">2011-05-24T23:18:00Z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11.144.266</vt:lpwstr>
  </property>
  <property fmtid="{D5CDD505-2E9C-101B-9397-08002B2CF9AE}" pid="3" name="CCRF">
    <vt:lpwstr> </vt:lpwstr>
  </property>
</Properties>
</file>