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60298" w:rsidTr="00960298">
        <w:trPr>
          <w:cantSplit/>
          <w:tblHeader/>
        </w:trPr>
        <w:tc>
          <w:tcPr>
            <w:tcW w:w="18713" w:type="dxa"/>
            <w:gridSpan w:val="3"/>
          </w:tcPr>
          <w:p w:rsidR="00D61490" w:rsidRDefault="00174481">
            <w:pPr>
              <w:ind w:left="650"/>
              <w:jc w:val="center"/>
            </w:pPr>
            <w:bookmarkStart w:id="0" w:name="_GoBack"/>
            <w:bookmarkEnd w:id="0"/>
            <w:r>
              <w:rPr>
                <w:b/>
              </w:rPr>
              <w:t>House Bill  194</w:t>
            </w:r>
          </w:p>
          <w:p w:rsidR="00D61490" w:rsidRDefault="00174481">
            <w:pPr>
              <w:ind w:left="650"/>
              <w:jc w:val="center"/>
            </w:pPr>
            <w:r>
              <w:t>Senate Amendments</w:t>
            </w:r>
          </w:p>
          <w:p w:rsidR="00D61490" w:rsidRDefault="00174481">
            <w:pPr>
              <w:ind w:left="650"/>
              <w:jc w:val="center"/>
            </w:pPr>
            <w:r>
              <w:t>Section-by-Section Analysis</w:t>
            </w:r>
          </w:p>
          <w:p w:rsidR="00D61490" w:rsidRDefault="00D61490">
            <w:pPr>
              <w:jc w:val="center"/>
            </w:pPr>
          </w:p>
        </w:tc>
      </w:tr>
      <w:tr w:rsidR="00D61490">
        <w:trPr>
          <w:cantSplit/>
          <w:tblHeader/>
        </w:trPr>
        <w:tc>
          <w:tcPr>
            <w:tcW w:w="1667" w:type="pct"/>
            <w:tcMar>
              <w:bottom w:w="188" w:type="dxa"/>
              <w:right w:w="0" w:type="dxa"/>
            </w:tcMar>
          </w:tcPr>
          <w:p w:rsidR="00D61490" w:rsidRDefault="00174481">
            <w:pPr>
              <w:jc w:val="center"/>
            </w:pPr>
            <w:r>
              <w:t>HOUSE VERSION</w:t>
            </w:r>
          </w:p>
        </w:tc>
        <w:tc>
          <w:tcPr>
            <w:tcW w:w="1667" w:type="pct"/>
            <w:tcMar>
              <w:bottom w:w="188" w:type="dxa"/>
              <w:right w:w="0" w:type="dxa"/>
            </w:tcMar>
          </w:tcPr>
          <w:p w:rsidR="00D61490" w:rsidRDefault="00174481">
            <w:pPr>
              <w:jc w:val="center"/>
            </w:pPr>
            <w:r>
              <w:t>SENATE VERSION (CS)</w:t>
            </w:r>
          </w:p>
        </w:tc>
        <w:tc>
          <w:tcPr>
            <w:tcW w:w="1667" w:type="pct"/>
            <w:tcMar>
              <w:bottom w:w="188" w:type="dxa"/>
              <w:right w:w="0" w:type="dxa"/>
            </w:tcMar>
          </w:tcPr>
          <w:p w:rsidR="00D61490" w:rsidRDefault="00174481">
            <w:pPr>
              <w:jc w:val="center"/>
            </w:pPr>
            <w:r>
              <w:t>CONFERENCE</w:t>
            </w:r>
          </w:p>
        </w:tc>
      </w:tr>
      <w:tr w:rsidR="00D61490">
        <w:tc>
          <w:tcPr>
            <w:tcW w:w="6473" w:type="dxa"/>
          </w:tcPr>
          <w:p w:rsidR="00D61490" w:rsidRDefault="00174481">
            <w:pPr>
              <w:jc w:val="both"/>
            </w:pPr>
            <w:r>
              <w:t>SECTION 1.  Section 2161.001(3), Government Code, is amended to read as follows:</w:t>
            </w:r>
          </w:p>
          <w:p w:rsidR="00D61490" w:rsidRDefault="00174481">
            <w:pPr>
              <w:jc w:val="both"/>
            </w:pPr>
            <w:r>
              <w:t>(3)  "Economically disadvantaged person" means a person who is economically disadvantaged because of the person's identification as a member of a certain group, including Black Americans, Hispanic Americans, women, Asian Pacific Americans, [</w:t>
            </w:r>
            <w:r>
              <w:rPr>
                <w:strike/>
              </w:rPr>
              <w:t>and</w:t>
            </w:r>
            <w:r>
              <w:t xml:space="preserve">] Native Americans, </w:t>
            </w:r>
            <w:r>
              <w:rPr>
                <w:u w:val="single"/>
              </w:rPr>
              <w:t>and veterans as defined by 38 U.S.C. Section 101(2) who have suffered at least a 20 percent service-connected disability as defined by 38 U.S.C. Section 101(16),</w:t>
            </w:r>
            <w:r>
              <w:t xml:space="preserve"> and </w:t>
            </w:r>
            <w:r w:rsidRPr="004E289F">
              <w:t>who</w:t>
            </w:r>
            <w:r>
              <w:t xml:space="preserve"> has suffered the effects of discriminatory practices or other similar insidious circumstances over which the person has no control.</w:t>
            </w:r>
          </w:p>
          <w:p w:rsidR="00D61490" w:rsidRDefault="00D61490">
            <w:pPr>
              <w:jc w:val="both"/>
            </w:pPr>
          </w:p>
        </w:tc>
        <w:tc>
          <w:tcPr>
            <w:tcW w:w="6480" w:type="dxa"/>
          </w:tcPr>
          <w:p w:rsidR="00D61490" w:rsidRDefault="00174481" w:rsidP="004E289F">
            <w:pPr>
              <w:jc w:val="both"/>
            </w:pPr>
            <w:r>
              <w:t xml:space="preserve">SECTION 1.  </w:t>
            </w:r>
            <w:r w:rsidR="004E289F">
              <w:t xml:space="preserve">Substantially same as House version. </w:t>
            </w:r>
          </w:p>
          <w:p w:rsidR="00D61490" w:rsidRDefault="00D61490">
            <w:pPr>
              <w:jc w:val="both"/>
            </w:pPr>
          </w:p>
        </w:tc>
        <w:tc>
          <w:tcPr>
            <w:tcW w:w="5760" w:type="dxa"/>
          </w:tcPr>
          <w:p w:rsidR="00D61490" w:rsidRDefault="00D61490">
            <w:pPr>
              <w:jc w:val="both"/>
            </w:pPr>
          </w:p>
        </w:tc>
      </w:tr>
      <w:tr w:rsidR="00D61490">
        <w:tc>
          <w:tcPr>
            <w:tcW w:w="6473" w:type="dxa"/>
          </w:tcPr>
          <w:p w:rsidR="00D61490" w:rsidRDefault="00174481">
            <w:pPr>
              <w:jc w:val="both"/>
            </w:pPr>
            <w:r>
              <w:t>SECTION 2.  Section 2161.002, Government Code, is amended by adding Subsection (d) to read as follows:</w:t>
            </w:r>
          </w:p>
          <w:p w:rsidR="00D61490" w:rsidRDefault="00174481">
            <w:pPr>
              <w:jc w:val="both"/>
            </w:pPr>
            <w:r>
              <w:rPr>
                <w:u w:val="single"/>
              </w:rPr>
              <w:t>(d)  The comptroller shall adopt rules to provide goals for increasing the contract awards for the purchase of goods or services by the commission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D61490" w:rsidRDefault="00D61490">
            <w:pPr>
              <w:jc w:val="both"/>
            </w:pPr>
          </w:p>
        </w:tc>
        <w:tc>
          <w:tcPr>
            <w:tcW w:w="6480" w:type="dxa"/>
          </w:tcPr>
          <w:p w:rsidR="00D61490" w:rsidRDefault="00174481">
            <w:pPr>
              <w:jc w:val="both"/>
            </w:pPr>
            <w:r w:rsidRPr="003C60C9">
              <w:rPr>
                <w:highlight w:val="darkGray"/>
              </w:rPr>
              <w:t>No equivalent provision</w:t>
            </w:r>
            <w:r>
              <w:t>.</w:t>
            </w:r>
          </w:p>
          <w:p w:rsidR="00D61490" w:rsidRDefault="00D61490">
            <w:pPr>
              <w:jc w:val="both"/>
            </w:pPr>
          </w:p>
        </w:tc>
        <w:tc>
          <w:tcPr>
            <w:tcW w:w="5760" w:type="dxa"/>
          </w:tcPr>
          <w:p w:rsidR="00D61490" w:rsidRDefault="00D61490">
            <w:pPr>
              <w:jc w:val="both"/>
            </w:pPr>
          </w:p>
        </w:tc>
      </w:tr>
      <w:tr w:rsidR="00D61490">
        <w:tc>
          <w:tcPr>
            <w:tcW w:w="6473" w:type="dxa"/>
          </w:tcPr>
          <w:p w:rsidR="00D61490" w:rsidRDefault="00174481">
            <w:pPr>
              <w:jc w:val="both"/>
            </w:pPr>
            <w:r>
              <w:t>SECTION 3.  Section 2161.125, Government Code, is amended to read as follows:</w:t>
            </w:r>
          </w:p>
          <w:p w:rsidR="00D61490" w:rsidRDefault="00174481">
            <w:pPr>
              <w:jc w:val="both"/>
            </w:pPr>
            <w:r>
              <w:lastRenderedPageBreak/>
              <w:t xml:space="preserve">Sec. 2161.125.  CATEGORIZATION </w:t>
            </w:r>
            <w:r>
              <w:rPr>
                <w:u w:val="single"/>
              </w:rPr>
              <w:t>OF HISTORICALLY UNDERUTILIZED BUSINESSES</w:t>
            </w:r>
            <w:r>
              <w:t xml:space="preserve"> [</w:t>
            </w:r>
            <w:r>
              <w:rPr>
                <w:strike/>
              </w:rPr>
              <w:t>BY SEX, RACE, AND ETHNICITY</w:t>
            </w:r>
            <w:r>
              <w:t xml:space="preserve">]. The comptroller, in cooperation with each state agency reporting under this subchapter, shall categorize each historically underutilized business included in a report under this subchapter by sex, race, and ethnicity </w:t>
            </w:r>
            <w:r>
              <w:rPr>
                <w:u w:val="single"/>
              </w:rPr>
              <w:t>and by whether the business qualifies as a historically underutilized business because it is owned or owned, operated, and controlled, as applicable, wholly or partly by one or more veterans as defined by 38 U.S.C. Section 101(2) who have suffered at least a 20 percent service-connected disability as defined by 38 U.S.C. Section 101(16)</w:t>
            </w:r>
            <w:r>
              <w:t>.</w:t>
            </w:r>
          </w:p>
          <w:p w:rsidR="00D61490" w:rsidRDefault="00D61490">
            <w:pPr>
              <w:jc w:val="both"/>
            </w:pPr>
          </w:p>
        </w:tc>
        <w:tc>
          <w:tcPr>
            <w:tcW w:w="6480" w:type="dxa"/>
          </w:tcPr>
          <w:p w:rsidR="00D61490" w:rsidRDefault="00174481">
            <w:pPr>
              <w:jc w:val="both"/>
            </w:pPr>
            <w:r w:rsidRPr="003C60C9">
              <w:rPr>
                <w:highlight w:val="darkGray"/>
              </w:rPr>
              <w:lastRenderedPageBreak/>
              <w:t>No equivalent provision</w:t>
            </w:r>
            <w:r>
              <w:t>.</w:t>
            </w:r>
          </w:p>
          <w:p w:rsidR="00D61490" w:rsidRDefault="00D61490">
            <w:pPr>
              <w:jc w:val="both"/>
            </w:pPr>
          </w:p>
        </w:tc>
        <w:tc>
          <w:tcPr>
            <w:tcW w:w="5760" w:type="dxa"/>
          </w:tcPr>
          <w:p w:rsidR="00D61490" w:rsidRDefault="00D61490">
            <w:pPr>
              <w:jc w:val="both"/>
            </w:pPr>
          </w:p>
        </w:tc>
      </w:tr>
      <w:tr w:rsidR="00D61490">
        <w:tc>
          <w:tcPr>
            <w:tcW w:w="6473" w:type="dxa"/>
          </w:tcPr>
          <w:p w:rsidR="00D61490" w:rsidRDefault="00174481">
            <w:pPr>
              <w:jc w:val="both"/>
            </w:pPr>
            <w:r>
              <w:lastRenderedPageBreak/>
              <w:t>SECTION 4.  (a)  Unless expressly provided otherwise,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severable.</w:t>
            </w:r>
          </w:p>
          <w:p w:rsidR="00D61490" w:rsidRDefault="00174481">
            <w:pPr>
              <w:jc w:val="both"/>
            </w:pPr>
            <w:r>
              <w:t>(b)  This section does not affect the power or duty of a court to ascertain and give effect to legislative intent concerning severability of this Act.</w:t>
            </w:r>
          </w:p>
          <w:p w:rsidR="00D61490" w:rsidRDefault="00D61490">
            <w:pPr>
              <w:jc w:val="both"/>
            </w:pPr>
          </w:p>
        </w:tc>
        <w:tc>
          <w:tcPr>
            <w:tcW w:w="6480" w:type="dxa"/>
          </w:tcPr>
          <w:p w:rsidR="00D61490" w:rsidRDefault="00174481">
            <w:pPr>
              <w:jc w:val="both"/>
            </w:pPr>
            <w:r w:rsidRPr="003C60C9">
              <w:rPr>
                <w:highlight w:val="darkGray"/>
              </w:rPr>
              <w:t>No equivalent provision</w:t>
            </w:r>
            <w:r>
              <w:t>.</w:t>
            </w:r>
          </w:p>
          <w:p w:rsidR="00D61490" w:rsidRDefault="00D61490">
            <w:pPr>
              <w:jc w:val="both"/>
            </w:pPr>
          </w:p>
        </w:tc>
        <w:tc>
          <w:tcPr>
            <w:tcW w:w="5760" w:type="dxa"/>
          </w:tcPr>
          <w:p w:rsidR="00D61490" w:rsidRDefault="00D61490">
            <w:pPr>
              <w:jc w:val="both"/>
            </w:pPr>
          </w:p>
        </w:tc>
      </w:tr>
      <w:tr w:rsidR="00D61490">
        <w:tc>
          <w:tcPr>
            <w:tcW w:w="6473" w:type="dxa"/>
          </w:tcPr>
          <w:p w:rsidR="00D61490" w:rsidRDefault="00174481">
            <w:pPr>
              <w:jc w:val="both"/>
            </w:pPr>
            <w:r>
              <w:t>SECTION 5.  This Act takes effect September 1, 2013.</w:t>
            </w:r>
          </w:p>
          <w:p w:rsidR="00D61490" w:rsidRDefault="00D61490">
            <w:pPr>
              <w:jc w:val="both"/>
            </w:pPr>
          </w:p>
        </w:tc>
        <w:tc>
          <w:tcPr>
            <w:tcW w:w="6480" w:type="dxa"/>
          </w:tcPr>
          <w:p w:rsidR="00D61490" w:rsidRDefault="00174481">
            <w:pPr>
              <w:jc w:val="both"/>
            </w:pPr>
            <w:r>
              <w:t>SECTION 2. Same as House version.</w:t>
            </w:r>
          </w:p>
          <w:p w:rsidR="00D61490" w:rsidRDefault="00D61490">
            <w:pPr>
              <w:jc w:val="both"/>
            </w:pPr>
          </w:p>
          <w:p w:rsidR="00D61490" w:rsidRDefault="00D61490">
            <w:pPr>
              <w:jc w:val="both"/>
            </w:pPr>
          </w:p>
        </w:tc>
        <w:tc>
          <w:tcPr>
            <w:tcW w:w="5760" w:type="dxa"/>
          </w:tcPr>
          <w:p w:rsidR="00D61490" w:rsidRDefault="00D61490">
            <w:pPr>
              <w:jc w:val="both"/>
            </w:pPr>
          </w:p>
        </w:tc>
      </w:tr>
    </w:tbl>
    <w:p w:rsidR="00B83AB8" w:rsidRDefault="00B83AB8"/>
    <w:sectPr w:rsidR="00B83AB8" w:rsidSect="00D6149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C9" w:rsidRDefault="003C60C9" w:rsidP="00D61490">
      <w:r>
        <w:separator/>
      </w:r>
    </w:p>
  </w:endnote>
  <w:endnote w:type="continuationSeparator" w:id="0">
    <w:p w:rsidR="003C60C9" w:rsidRDefault="003C60C9" w:rsidP="00D6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90" w:rsidRDefault="00DD21EB">
    <w:pPr>
      <w:tabs>
        <w:tab w:val="center" w:pos="9360"/>
        <w:tab w:val="right" w:pos="18720"/>
      </w:tabs>
    </w:pPr>
    <w:fldSimple w:instr=" DOCPROPERTY  CCRF  \* MERGEFORMAT ">
      <w:r w:rsidR="00F5592F">
        <w:t xml:space="preserve"> </w:t>
      </w:r>
    </w:fldSimple>
    <w:r w:rsidR="00174481">
      <w:tab/>
    </w:r>
    <w:r w:rsidR="00D61490">
      <w:fldChar w:fldCharType="begin"/>
    </w:r>
    <w:r w:rsidR="00174481">
      <w:instrText xml:space="preserve"> PAGE </w:instrText>
    </w:r>
    <w:r w:rsidR="00D61490">
      <w:fldChar w:fldCharType="separate"/>
    </w:r>
    <w:r w:rsidR="00A235E4">
      <w:rPr>
        <w:noProof/>
      </w:rPr>
      <w:t>2</w:t>
    </w:r>
    <w:r w:rsidR="00D61490">
      <w:fldChar w:fldCharType="end"/>
    </w:r>
    <w:r w:rsidR="0017448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C9" w:rsidRDefault="003C60C9" w:rsidP="00D61490">
      <w:r>
        <w:separator/>
      </w:r>
    </w:p>
  </w:footnote>
  <w:footnote w:type="continuationSeparator" w:id="0">
    <w:p w:rsidR="003C60C9" w:rsidRDefault="003C60C9" w:rsidP="00D6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9F" w:rsidRDefault="004E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90"/>
    <w:rsid w:val="00174481"/>
    <w:rsid w:val="003C60C9"/>
    <w:rsid w:val="004E289F"/>
    <w:rsid w:val="00960298"/>
    <w:rsid w:val="00A235E4"/>
    <w:rsid w:val="00B83AB8"/>
    <w:rsid w:val="00D61490"/>
    <w:rsid w:val="00DD21EB"/>
    <w:rsid w:val="00F5592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9F"/>
    <w:pPr>
      <w:tabs>
        <w:tab w:val="center" w:pos="4680"/>
        <w:tab w:val="right" w:pos="9360"/>
      </w:tabs>
    </w:pPr>
  </w:style>
  <w:style w:type="character" w:customStyle="1" w:styleId="HeaderChar">
    <w:name w:val="Header Char"/>
    <w:link w:val="Header"/>
    <w:uiPriority w:val="99"/>
    <w:rsid w:val="004E289F"/>
    <w:rPr>
      <w:sz w:val="22"/>
    </w:rPr>
  </w:style>
  <w:style w:type="paragraph" w:styleId="Footer">
    <w:name w:val="footer"/>
    <w:basedOn w:val="Normal"/>
    <w:link w:val="FooterChar"/>
    <w:uiPriority w:val="99"/>
    <w:unhideWhenUsed/>
    <w:rsid w:val="004E289F"/>
    <w:pPr>
      <w:tabs>
        <w:tab w:val="center" w:pos="4680"/>
        <w:tab w:val="right" w:pos="9360"/>
      </w:tabs>
    </w:pPr>
  </w:style>
  <w:style w:type="character" w:customStyle="1" w:styleId="FooterChar">
    <w:name w:val="Footer Char"/>
    <w:link w:val="Footer"/>
    <w:uiPriority w:val="99"/>
    <w:rsid w:val="004E289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9F"/>
    <w:pPr>
      <w:tabs>
        <w:tab w:val="center" w:pos="4680"/>
        <w:tab w:val="right" w:pos="9360"/>
      </w:tabs>
    </w:pPr>
  </w:style>
  <w:style w:type="character" w:customStyle="1" w:styleId="HeaderChar">
    <w:name w:val="Header Char"/>
    <w:link w:val="Header"/>
    <w:uiPriority w:val="99"/>
    <w:rsid w:val="004E289F"/>
    <w:rPr>
      <w:sz w:val="22"/>
    </w:rPr>
  </w:style>
  <w:style w:type="paragraph" w:styleId="Footer">
    <w:name w:val="footer"/>
    <w:basedOn w:val="Normal"/>
    <w:link w:val="FooterChar"/>
    <w:uiPriority w:val="99"/>
    <w:unhideWhenUsed/>
    <w:rsid w:val="004E289F"/>
    <w:pPr>
      <w:tabs>
        <w:tab w:val="center" w:pos="4680"/>
        <w:tab w:val="right" w:pos="9360"/>
      </w:tabs>
    </w:pPr>
  </w:style>
  <w:style w:type="character" w:customStyle="1" w:styleId="FooterChar">
    <w:name w:val="Footer Char"/>
    <w:link w:val="Footer"/>
    <w:uiPriority w:val="99"/>
    <w:rsid w:val="004E28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HB194-SAA</vt:lpstr>
    </vt:vector>
  </TitlesOfParts>
  <Company>Texas Legislative Council</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HB194-SAA</dc:title>
  <dc:creator>CME</dc:creator>
  <cp:lastModifiedBy>WKS</cp:lastModifiedBy>
  <cp:revision>2</cp:revision>
  <dcterms:created xsi:type="dcterms:W3CDTF">2013-05-23T16:31:00Z</dcterms:created>
  <dcterms:modified xsi:type="dcterms:W3CDTF">2013-05-23T16:31:00Z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