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732F0" w:rsidTr="001732F0">
        <w:trPr>
          <w:cantSplit/>
          <w:tblHeader/>
        </w:trPr>
        <w:tc>
          <w:tcPr>
            <w:tcW w:w="18713" w:type="dxa"/>
            <w:gridSpan w:val="3"/>
          </w:tcPr>
          <w:p w:rsidR="0046567A" w:rsidRDefault="001732F0">
            <w:pPr>
              <w:ind w:left="650"/>
              <w:jc w:val="center"/>
            </w:pPr>
            <w:bookmarkStart w:id="0" w:name="_GoBack"/>
            <w:bookmarkEnd w:id="0"/>
            <w:r>
              <w:rPr>
                <w:b/>
              </w:rPr>
              <w:t>House Bill  232</w:t>
            </w:r>
          </w:p>
          <w:p w:rsidR="0046567A" w:rsidRDefault="001732F0">
            <w:pPr>
              <w:ind w:left="650"/>
              <w:jc w:val="center"/>
            </w:pPr>
            <w:r>
              <w:t>Senate Amendments</w:t>
            </w:r>
          </w:p>
          <w:p w:rsidR="0046567A" w:rsidRDefault="001732F0">
            <w:pPr>
              <w:ind w:left="650"/>
              <w:jc w:val="center"/>
            </w:pPr>
            <w:r>
              <w:t>Section-by-Section Analysis</w:t>
            </w:r>
          </w:p>
          <w:p w:rsidR="0046567A" w:rsidRDefault="0046567A">
            <w:pPr>
              <w:jc w:val="center"/>
            </w:pPr>
          </w:p>
        </w:tc>
      </w:tr>
      <w:tr w:rsidR="0046567A">
        <w:trPr>
          <w:cantSplit/>
          <w:tblHeader/>
        </w:trPr>
        <w:tc>
          <w:tcPr>
            <w:tcW w:w="1667" w:type="pct"/>
            <w:tcMar>
              <w:bottom w:w="188" w:type="dxa"/>
              <w:right w:w="0" w:type="dxa"/>
            </w:tcMar>
          </w:tcPr>
          <w:p w:rsidR="0046567A" w:rsidRDefault="001732F0">
            <w:pPr>
              <w:jc w:val="center"/>
            </w:pPr>
            <w:r>
              <w:t>HOUSE VERSION</w:t>
            </w:r>
          </w:p>
        </w:tc>
        <w:tc>
          <w:tcPr>
            <w:tcW w:w="1667" w:type="pct"/>
            <w:tcMar>
              <w:bottom w:w="188" w:type="dxa"/>
              <w:right w:w="0" w:type="dxa"/>
            </w:tcMar>
          </w:tcPr>
          <w:p w:rsidR="0046567A" w:rsidRDefault="001732F0">
            <w:pPr>
              <w:jc w:val="center"/>
            </w:pPr>
            <w:r>
              <w:t>SENATE VERSION (CS)</w:t>
            </w:r>
          </w:p>
        </w:tc>
        <w:tc>
          <w:tcPr>
            <w:tcW w:w="1667" w:type="pct"/>
            <w:tcMar>
              <w:bottom w:w="188" w:type="dxa"/>
              <w:right w:w="0" w:type="dxa"/>
            </w:tcMar>
          </w:tcPr>
          <w:p w:rsidR="0046567A" w:rsidRDefault="001732F0">
            <w:pPr>
              <w:jc w:val="center"/>
            </w:pPr>
            <w:r>
              <w:t>CONFERENCE</w:t>
            </w:r>
          </w:p>
        </w:tc>
      </w:tr>
      <w:tr w:rsidR="00895BAC">
        <w:tc>
          <w:tcPr>
            <w:tcW w:w="6473" w:type="dxa"/>
          </w:tcPr>
          <w:p w:rsidR="00895BAC" w:rsidRDefault="00895BAC">
            <w:pPr>
              <w:jc w:val="both"/>
            </w:pPr>
            <w:r>
              <w:t>SECTION 1.  Section 106.115, Alcoholic Beverage Code, is amended by adding Subsections (b-1</w:t>
            </w:r>
            <w:r w:rsidRPr="00895BAC">
              <w:t>) and</w:t>
            </w:r>
            <w:r>
              <w:t xml:space="preserve"> (b-2) to read as follows:</w:t>
            </w:r>
          </w:p>
        </w:tc>
        <w:tc>
          <w:tcPr>
            <w:tcW w:w="6480" w:type="dxa"/>
          </w:tcPr>
          <w:p w:rsidR="00895BAC" w:rsidRDefault="00895BAC">
            <w:pPr>
              <w:jc w:val="both"/>
            </w:pPr>
            <w:r>
              <w:t xml:space="preserve">SECTION 1.  Section 106.115, Alcoholic Beverage Code, is amended by adding Subsections (b-1), (b-2), </w:t>
            </w:r>
            <w:r w:rsidRPr="00895BAC">
              <w:t>and (b-3)</w:t>
            </w:r>
            <w:r>
              <w:t xml:space="preserve"> to read as follows:</w:t>
            </w:r>
          </w:p>
        </w:tc>
        <w:tc>
          <w:tcPr>
            <w:tcW w:w="5760" w:type="dxa"/>
          </w:tcPr>
          <w:p w:rsidR="00895BAC" w:rsidRDefault="00895BAC">
            <w:pPr>
              <w:jc w:val="both"/>
            </w:pPr>
          </w:p>
        </w:tc>
      </w:tr>
      <w:tr w:rsidR="00895BAC">
        <w:tc>
          <w:tcPr>
            <w:tcW w:w="6473" w:type="dxa"/>
          </w:tcPr>
          <w:p w:rsidR="00895BAC" w:rsidRDefault="00895BAC">
            <w:pPr>
              <w:jc w:val="both"/>
            </w:pPr>
            <w:r>
              <w:rPr>
                <w:u w:val="single"/>
              </w:rPr>
              <w:t xml:space="preserve">(b-1)  If the defendant resides in a county with a population of </w:t>
            </w:r>
            <w:r w:rsidRPr="007B66EF">
              <w:rPr>
                <w:highlight w:val="darkGray"/>
                <w:u w:val="single"/>
              </w:rPr>
              <w:t>25,000</w:t>
            </w:r>
            <w:r>
              <w:rPr>
                <w:u w:val="single"/>
              </w:rPr>
              <w:t xml:space="preserve"> or less and access to an alcohol awareness program is not readily available in the county </w:t>
            </w:r>
            <w:r w:rsidRPr="007B66EF">
              <w:rPr>
                <w:highlight w:val="darkGray"/>
                <w:u w:val="single"/>
              </w:rPr>
              <w:t>or an adjacent county</w:t>
            </w:r>
            <w:r>
              <w:rPr>
                <w:u w:val="single"/>
              </w:rPr>
              <w:t xml:space="preserve">, the court may allow the defendant to take an online alcohol awareness program if the Department of State Health Services approves online courses or require the defendant to perform not less than eight hours of </w:t>
            </w:r>
            <w:r w:rsidRPr="007B66EF">
              <w:rPr>
                <w:highlight w:val="darkGray"/>
                <w:u w:val="single"/>
              </w:rPr>
              <w:t>alcohol-related</w:t>
            </w:r>
            <w:r>
              <w:rPr>
                <w:u w:val="single"/>
              </w:rPr>
              <w:t xml:space="preserve"> community service approved by the Department of State Health Services under Subsection (b-2) instead of attending the alcohol awareness program. Community service ordered under this subsection is in addition to community service ordered under Section 106.071(d). </w:t>
            </w:r>
          </w:p>
        </w:tc>
        <w:tc>
          <w:tcPr>
            <w:tcW w:w="6480" w:type="dxa"/>
          </w:tcPr>
          <w:p w:rsidR="00895BAC" w:rsidRDefault="00895BAC">
            <w:pPr>
              <w:jc w:val="both"/>
            </w:pPr>
            <w:r>
              <w:rPr>
                <w:u w:val="single"/>
              </w:rPr>
              <w:t xml:space="preserve">(b-1)  If the defendant resides in a county with a population of </w:t>
            </w:r>
            <w:r w:rsidRPr="007B66EF">
              <w:rPr>
                <w:highlight w:val="darkGray"/>
                <w:u w:val="single"/>
              </w:rPr>
              <w:t>75,000</w:t>
            </w:r>
            <w:r>
              <w:rPr>
                <w:u w:val="single"/>
              </w:rPr>
              <w:t xml:space="preserve"> or less and access to an alcohol awareness program is not readily available in the county, the court may allow the defendant to take an online alcohol awareness program if the Department of State Health Services approves online courses or require the defendant to perform not less than eight hours of community service </w:t>
            </w:r>
            <w:r w:rsidRPr="007B66EF">
              <w:rPr>
                <w:highlight w:val="darkGray"/>
                <w:u w:val="single"/>
              </w:rPr>
              <w:t>related to alcohol abuse prevention or treatment and</w:t>
            </w:r>
            <w:r>
              <w:rPr>
                <w:u w:val="single"/>
              </w:rPr>
              <w:t xml:space="preserve"> approved by the Department of State Health Services under Subsection (b-3) instead of attending the alcohol awareness program. Community service ordered under this subsection is in addition to community service ordered under Section 106.071(d).</w:t>
            </w:r>
          </w:p>
        </w:tc>
        <w:tc>
          <w:tcPr>
            <w:tcW w:w="5760" w:type="dxa"/>
          </w:tcPr>
          <w:p w:rsidR="00895BAC" w:rsidRDefault="00895BAC">
            <w:pPr>
              <w:jc w:val="both"/>
            </w:pPr>
          </w:p>
        </w:tc>
      </w:tr>
      <w:tr w:rsidR="00895BAC">
        <w:tc>
          <w:tcPr>
            <w:tcW w:w="6473" w:type="dxa"/>
          </w:tcPr>
          <w:p w:rsidR="00895BAC" w:rsidRPr="00895BAC" w:rsidRDefault="00895BAC">
            <w:pPr>
              <w:jc w:val="both"/>
            </w:pPr>
            <w:r w:rsidRPr="007B66EF">
              <w:rPr>
                <w:highlight w:val="darkGray"/>
              </w:rPr>
              <w:t>No equivalent provision.</w:t>
            </w:r>
          </w:p>
        </w:tc>
        <w:tc>
          <w:tcPr>
            <w:tcW w:w="6480" w:type="dxa"/>
          </w:tcPr>
          <w:p w:rsidR="00895BAC" w:rsidRPr="00895BAC" w:rsidRDefault="00895BAC">
            <w:pPr>
              <w:jc w:val="both"/>
            </w:pPr>
            <w:r>
              <w:rPr>
                <w:u w:val="single"/>
              </w:rPr>
              <w:t>(b-2</w:t>
            </w:r>
            <w:r w:rsidRPr="00895BAC">
              <w:rPr>
                <w:u w:val="single"/>
              </w:rPr>
              <w:t xml:space="preserve">)  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Department of Public Safety. If the defendant does not have a driver's license or personal identification certificate issued by the Department of Public Safety, the defendant's residence is the residence on the defendant's voter registration certificate. If the defendant is not registered to vote, the defendant's residence is the </w:t>
            </w:r>
            <w:r w:rsidRPr="00895BAC">
              <w:rPr>
                <w:u w:val="single"/>
              </w:rPr>
              <w:lastRenderedPageBreak/>
              <w:t>residence on file with the public school district on which the defendant's enrollment is based.  If the defendant is not enrolled in public school, the defendant's residence is determined as provided by commission rule.</w:t>
            </w:r>
          </w:p>
        </w:tc>
        <w:tc>
          <w:tcPr>
            <w:tcW w:w="5760" w:type="dxa"/>
          </w:tcPr>
          <w:p w:rsidR="00895BAC" w:rsidRDefault="00895BAC">
            <w:pPr>
              <w:jc w:val="both"/>
            </w:pPr>
          </w:p>
        </w:tc>
      </w:tr>
      <w:tr w:rsidR="0046567A">
        <w:tc>
          <w:tcPr>
            <w:tcW w:w="6473" w:type="dxa"/>
          </w:tcPr>
          <w:p w:rsidR="0046567A" w:rsidRDefault="001732F0">
            <w:pPr>
              <w:jc w:val="both"/>
            </w:pPr>
            <w:r>
              <w:rPr>
                <w:u w:val="single"/>
              </w:rPr>
              <w:lastRenderedPageBreak/>
              <w:t xml:space="preserve">(b-2)  The Department of State Health Services shall create a list of </w:t>
            </w:r>
            <w:r w:rsidRPr="007B66EF">
              <w:rPr>
                <w:highlight w:val="darkGray"/>
                <w:u w:val="single"/>
              </w:rPr>
              <w:t>alcohol-related community services</w:t>
            </w:r>
            <w:r>
              <w:rPr>
                <w:u w:val="single"/>
              </w:rPr>
              <w:t xml:space="preserve"> in each county in the state to which a judge may sentence a defendant under Subsection (b-1).</w:t>
            </w:r>
          </w:p>
          <w:p w:rsidR="0046567A" w:rsidRDefault="0046567A">
            <w:pPr>
              <w:jc w:val="both"/>
            </w:pPr>
          </w:p>
        </w:tc>
        <w:tc>
          <w:tcPr>
            <w:tcW w:w="6480" w:type="dxa"/>
          </w:tcPr>
          <w:p w:rsidR="0046567A" w:rsidRDefault="001732F0">
            <w:pPr>
              <w:jc w:val="both"/>
            </w:pPr>
            <w:r>
              <w:rPr>
                <w:u w:val="single"/>
              </w:rPr>
              <w:t xml:space="preserve">(b-3)  The Department of State Health Services shall create a list of </w:t>
            </w:r>
            <w:r w:rsidRPr="007B66EF">
              <w:rPr>
                <w:highlight w:val="darkGray"/>
                <w:u w:val="single"/>
              </w:rPr>
              <w:t>community services related to alcohol abuse prevention or treatment</w:t>
            </w:r>
            <w:r>
              <w:rPr>
                <w:u w:val="single"/>
              </w:rPr>
              <w:t xml:space="preserve"> in each county in the state to which a judge may sentence a defendant under Subsection (b-1).</w:t>
            </w:r>
          </w:p>
          <w:p w:rsidR="0046567A" w:rsidRDefault="0046567A">
            <w:pPr>
              <w:jc w:val="both"/>
            </w:pPr>
          </w:p>
        </w:tc>
        <w:tc>
          <w:tcPr>
            <w:tcW w:w="5760" w:type="dxa"/>
          </w:tcPr>
          <w:p w:rsidR="0046567A" w:rsidRDefault="0046567A">
            <w:pPr>
              <w:jc w:val="both"/>
            </w:pPr>
          </w:p>
        </w:tc>
      </w:tr>
      <w:tr w:rsidR="0046567A">
        <w:tc>
          <w:tcPr>
            <w:tcW w:w="6473" w:type="dxa"/>
          </w:tcPr>
          <w:p w:rsidR="0046567A" w:rsidRDefault="001732F0">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46567A" w:rsidRDefault="0046567A">
            <w:pPr>
              <w:jc w:val="both"/>
            </w:pPr>
          </w:p>
        </w:tc>
        <w:tc>
          <w:tcPr>
            <w:tcW w:w="6480" w:type="dxa"/>
          </w:tcPr>
          <w:p w:rsidR="0046567A" w:rsidRDefault="001732F0">
            <w:pPr>
              <w:jc w:val="both"/>
            </w:pPr>
            <w:r>
              <w:t>SECTION 2. Same as House version.</w:t>
            </w:r>
          </w:p>
          <w:p w:rsidR="0046567A" w:rsidRDefault="0046567A">
            <w:pPr>
              <w:jc w:val="both"/>
            </w:pPr>
          </w:p>
          <w:p w:rsidR="0046567A" w:rsidRDefault="0046567A">
            <w:pPr>
              <w:jc w:val="both"/>
            </w:pPr>
          </w:p>
        </w:tc>
        <w:tc>
          <w:tcPr>
            <w:tcW w:w="5760" w:type="dxa"/>
          </w:tcPr>
          <w:p w:rsidR="0046567A" w:rsidRDefault="0046567A">
            <w:pPr>
              <w:jc w:val="both"/>
            </w:pPr>
          </w:p>
        </w:tc>
      </w:tr>
    </w:tbl>
    <w:p w:rsidR="005621EB" w:rsidRDefault="005621EB"/>
    <w:sectPr w:rsidR="005621EB" w:rsidSect="0046567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EF" w:rsidRDefault="007B66EF" w:rsidP="0046567A">
      <w:r>
        <w:separator/>
      </w:r>
    </w:p>
  </w:endnote>
  <w:endnote w:type="continuationSeparator" w:id="0">
    <w:p w:rsidR="007B66EF" w:rsidRDefault="007B66EF" w:rsidP="0046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C3" w:rsidRDefault="00445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AC" w:rsidRDefault="008C3A85">
    <w:pPr>
      <w:tabs>
        <w:tab w:val="center" w:pos="9360"/>
        <w:tab w:val="right" w:pos="18720"/>
      </w:tabs>
    </w:pPr>
    <w:fldSimple w:instr=" DOCPROPERTY  CCRF  \* MERGEFORMAT ">
      <w:r w:rsidR="00D0256E">
        <w:t xml:space="preserve"> </w:t>
      </w:r>
    </w:fldSimple>
    <w:r w:rsidR="00895BAC">
      <w:tab/>
    </w:r>
    <w:r w:rsidR="00895BAC">
      <w:fldChar w:fldCharType="begin"/>
    </w:r>
    <w:r w:rsidR="00895BAC">
      <w:instrText xml:space="preserve"> PAGE </w:instrText>
    </w:r>
    <w:r w:rsidR="00895BAC">
      <w:fldChar w:fldCharType="separate"/>
    </w:r>
    <w:r w:rsidR="00A81B52">
      <w:rPr>
        <w:noProof/>
      </w:rPr>
      <w:t>1</w:t>
    </w:r>
    <w:r w:rsidR="00895BAC">
      <w:fldChar w:fldCharType="end"/>
    </w:r>
    <w:r w:rsidR="00895BA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C3" w:rsidRDefault="00445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EF" w:rsidRDefault="007B66EF" w:rsidP="0046567A">
      <w:r>
        <w:separator/>
      </w:r>
    </w:p>
  </w:footnote>
  <w:footnote w:type="continuationSeparator" w:id="0">
    <w:p w:rsidR="007B66EF" w:rsidRDefault="007B66EF" w:rsidP="00465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C3" w:rsidRDefault="00445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C3" w:rsidRDefault="00445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C3" w:rsidRDefault="00445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7A"/>
    <w:rsid w:val="001732F0"/>
    <w:rsid w:val="004458C3"/>
    <w:rsid w:val="0046567A"/>
    <w:rsid w:val="005621EB"/>
    <w:rsid w:val="007B66EF"/>
    <w:rsid w:val="00895BAC"/>
    <w:rsid w:val="008C3A85"/>
    <w:rsid w:val="00932941"/>
    <w:rsid w:val="00A5320B"/>
    <w:rsid w:val="00A81B52"/>
    <w:rsid w:val="00D0256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7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BAC"/>
    <w:rPr>
      <w:rFonts w:ascii="Tahoma" w:hAnsi="Tahoma" w:cs="Tahoma"/>
      <w:sz w:val="16"/>
      <w:szCs w:val="16"/>
    </w:rPr>
  </w:style>
  <w:style w:type="character" w:customStyle="1" w:styleId="BalloonTextChar">
    <w:name w:val="Balloon Text Char"/>
    <w:link w:val="BalloonText"/>
    <w:uiPriority w:val="99"/>
    <w:semiHidden/>
    <w:rsid w:val="00895BAC"/>
    <w:rPr>
      <w:rFonts w:ascii="Tahoma" w:hAnsi="Tahoma" w:cs="Tahoma"/>
      <w:sz w:val="16"/>
      <w:szCs w:val="16"/>
    </w:rPr>
  </w:style>
  <w:style w:type="paragraph" w:styleId="Header">
    <w:name w:val="header"/>
    <w:basedOn w:val="Normal"/>
    <w:link w:val="HeaderChar"/>
    <w:uiPriority w:val="99"/>
    <w:unhideWhenUsed/>
    <w:rsid w:val="004458C3"/>
    <w:pPr>
      <w:tabs>
        <w:tab w:val="center" w:pos="4680"/>
        <w:tab w:val="right" w:pos="9360"/>
      </w:tabs>
    </w:pPr>
  </w:style>
  <w:style w:type="character" w:customStyle="1" w:styleId="HeaderChar">
    <w:name w:val="Header Char"/>
    <w:link w:val="Header"/>
    <w:uiPriority w:val="99"/>
    <w:rsid w:val="004458C3"/>
    <w:rPr>
      <w:sz w:val="22"/>
    </w:rPr>
  </w:style>
  <w:style w:type="paragraph" w:styleId="Footer">
    <w:name w:val="footer"/>
    <w:basedOn w:val="Normal"/>
    <w:link w:val="FooterChar"/>
    <w:uiPriority w:val="99"/>
    <w:unhideWhenUsed/>
    <w:rsid w:val="004458C3"/>
    <w:pPr>
      <w:tabs>
        <w:tab w:val="center" w:pos="4680"/>
        <w:tab w:val="right" w:pos="9360"/>
      </w:tabs>
    </w:pPr>
  </w:style>
  <w:style w:type="character" w:customStyle="1" w:styleId="FooterChar">
    <w:name w:val="Footer Char"/>
    <w:link w:val="Footer"/>
    <w:uiPriority w:val="99"/>
    <w:rsid w:val="004458C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7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BAC"/>
    <w:rPr>
      <w:rFonts w:ascii="Tahoma" w:hAnsi="Tahoma" w:cs="Tahoma"/>
      <w:sz w:val="16"/>
      <w:szCs w:val="16"/>
    </w:rPr>
  </w:style>
  <w:style w:type="character" w:customStyle="1" w:styleId="BalloonTextChar">
    <w:name w:val="Balloon Text Char"/>
    <w:link w:val="BalloonText"/>
    <w:uiPriority w:val="99"/>
    <w:semiHidden/>
    <w:rsid w:val="00895BAC"/>
    <w:rPr>
      <w:rFonts w:ascii="Tahoma" w:hAnsi="Tahoma" w:cs="Tahoma"/>
      <w:sz w:val="16"/>
      <w:szCs w:val="16"/>
    </w:rPr>
  </w:style>
  <w:style w:type="paragraph" w:styleId="Header">
    <w:name w:val="header"/>
    <w:basedOn w:val="Normal"/>
    <w:link w:val="HeaderChar"/>
    <w:uiPriority w:val="99"/>
    <w:unhideWhenUsed/>
    <w:rsid w:val="004458C3"/>
    <w:pPr>
      <w:tabs>
        <w:tab w:val="center" w:pos="4680"/>
        <w:tab w:val="right" w:pos="9360"/>
      </w:tabs>
    </w:pPr>
  </w:style>
  <w:style w:type="character" w:customStyle="1" w:styleId="HeaderChar">
    <w:name w:val="Header Char"/>
    <w:link w:val="Header"/>
    <w:uiPriority w:val="99"/>
    <w:rsid w:val="004458C3"/>
    <w:rPr>
      <w:sz w:val="22"/>
    </w:rPr>
  </w:style>
  <w:style w:type="paragraph" w:styleId="Footer">
    <w:name w:val="footer"/>
    <w:basedOn w:val="Normal"/>
    <w:link w:val="FooterChar"/>
    <w:uiPriority w:val="99"/>
    <w:unhideWhenUsed/>
    <w:rsid w:val="004458C3"/>
    <w:pPr>
      <w:tabs>
        <w:tab w:val="center" w:pos="4680"/>
        <w:tab w:val="right" w:pos="9360"/>
      </w:tabs>
    </w:pPr>
  </w:style>
  <w:style w:type="character" w:customStyle="1" w:styleId="FooterChar">
    <w:name w:val="Footer Char"/>
    <w:link w:val="Footer"/>
    <w:uiPriority w:val="99"/>
    <w:rsid w:val="004458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HB232-SAA</vt:lpstr>
    </vt:vector>
  </TitlesOfParts>
  <Company>Texas Legislative Council</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HB232-SAA</dc:title>
  <dc:creator>CME</dc:creator>
  <cp:lastModifiedBy>WKS</cp:lastModifiedBy>
  <cp:revision>2</cp:revision>
  <dcterms:created xsi:type="dcterms:W3CDTF">2013-05-23T17:07:00Z</dcterms:created>
  <dcterms:modified xsi:type="dcterms:W3CDTF">2013-05-23T17:07:00Z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