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820" w:type="pct"/>
        <w:tblInd w:w="6" w:type="dxa"/>
        <w:tblLayout w:type="fixed"/>
        <w:tblCellMar>
          <w:left w:w="0" w:type="dxa"/>
          <w:bottom w:w="288" w:type="dxa"/>
          <w:right w:w="720" w:type="dxa"/>
        </w:tblCellMar>
        <w:tblLook w:val="01E0" w:firstRow="1" w:lastRow="1" w:firstColumn="1" w:lastColumn="1" w:noHBand="0" w:noVBand="0"/>
      </w:tblPr>
      <w:tblGrid>
        <w:gridCol w:w="6248"/>
        <w:gridCol w:w="6248"/>
        <w:gridCol w:w="6244"/>
      </w:tblGrid>
      <w:tr w:rsidR="001C39E6" w:rsidTr="001C39E6">
        <w:trPr>
          <w:cantSplit/>
          <w:tblHeader/>
        </w:trPr>
        <w:tc>
          <w:tcPr>
            <w:tcW w:w="18713" w:type="dxa"/>
            <w:gridSpan w:val="3"/>
          </w:tcPr>
          <w:p w:rsidR="00AA56E9" w:rsidRDefault="00012EA8">
            <w:pPr>
              <w:ind w:left="650"/>
              <w:jc w:val="center"/>
            </w:pPr>
            <w:bookmarkStart w:id="0" w:name="_GoBack"/>
            <w:bookmarkEnd w:id="0"/>
            <w:r>
              <w:rPr>
                <w:b/>
              </w:rPr>
              <w:t>House Bill  616</w:t>
            </w:r>
          </w:p>
          <w:p w:rsidR="00AA56E9" w:rsidRDefault="00012EA8">
            <w:pPr>
              <w:ind w:left="650"/>
              <w:jc w:val="center"/>
            </w:pPr>
            <w:r>
              <w:t>Senate Amendments</w:t>
            </w:r>
          </w:p>
          <w:p w:rsidR="00AA56E9" w:rsidRDefault="00012EA8">
            <w:pPr>
              <w:ind w:left="650"/>
              <w:jc w:val="center"/>
            </w:pPr>
            <w:r>
              <w:t>Section-by-Section Analysis</w:t>
            </w:r>
          </w:p>
          <w:p w:rsidR="00AA56E9" w:rsidRDefault="00AA56E9">
            <w:pPr>
              <w:jc w:val="center"/>
            </w:pPr>
          </w:p>
        </w:tc>
      </w:tr>
      <w:tr w:rsidR="00AA56E9">
        <w:trPr>
          <w:cantSplit/>
          <w:tblHeader/>
        </w:trPr>
        <w:tc>
          <w:tcPr>
            <w:tcW w:w="1667" w:type="pct"/>
            <w:tcMar>
              <w:bottom w:w="188" w:type="dxa"/>
              <w:right w:w="0" w:type="dxa"/>
            </w:tcMar>
          </w:tcPr>
          <w:p w:rsidR="00AA56E9" w:rsidRDefault="00012EA8">
            <w:pPr>
              <w:jc w:val="center"/>
            </w:pPr>
            <w:r>
              <w:t>HOUSE VERSION</w:t>
            </w:r>
          </w:p>
        </w:tc>
        <w:tc>
          <w:tcPr>
            <w:tcW w:w="1667" w:type="pct"/>
            <w:tcMar>
              <w:bottom w:w="188" w:type="dxa"/>
              <w:right w:w="0" w:type="dxa"/>
            </w:tcMar>
          </w:tcPr>
          <w:p w:rsidR="00AA56E9" w:rsidRDefault="00012EA8">
            <w:pPr>
              <w:jc w:val="center"/>
            </w:pPr>
            <w:r>
              <w:t>SENATE VERSION (CS)</w:t>
            </w:r>
          </w:p>
        </w:tc>
        <w:tc>
          <w:tcPr>
            <w:tcW w:w="1667" w:type="pct"/>
            <w:tcMar>
              <w:bottom w:w="188" w:type="dxa"/>
              <w:right w:w="0" w:type="dxa"/>
            </w:tcMar>
          </w:tcPr>
          <w:p w:rsidR="00AA56E9" w:rsidRDefault="00012EA8">
            <w:pPr>
              <w:jc w:val="center"/>
            </w:pPr>
            <w:r>
              <w:t>CONFERENCE</w:t>
            </w:r>
          </w:p>
        </w:tc>
      </w:tr>
      <w:tr w:rsidR="00AA56E9">
        <w:tc>
          <w:tcPr>
            <w:tcW w:w="6473" w:type="dxa"/>
          </w:tcPr>
          <w:p w:rsidR="00AA56E9" w:rsidRPr="002C0063" w:rsidRDefault="00012EA8">
            <w:pPr>
              <w:jc w:val="both"/>
              <w:rPr>
                <w:highlight w:val="darkGray"/>
              </w:rPr>
            </w:pPr>
            <w:r>
              <w:t xml:space="preserve">SECTION 1.  Section 26.187, Government Code, is </w:t>
            </w:r>
            <w:r w:rsidRPr="002C0063">
              <w:rPr>
                <w:highlight w:val="darkGray"/>
              </w:rPr>
              <w:t>amended to read as follows:</w:t>
            </w:r>
          </w:p>
          <w:p w:rsidR="00AA56E9" w:rsidRDefault="00012EA8">
            <w:pPr>
              <w:jc w:val="both"/>
            </w:pPr>
            <w:r w:rsidRPr="002C0063">
              <w:rPr>
                <w:highlight w:val="darkGray"/>
              </w:rPr>
              <w:t>Sec. 26.187.  GLASSCOCK COUNTY.  The County Court of Glasscock County has the general jurisdiction of a probate court, general criminal jurisdiction, [</w:t>
            </w:r>
            <w:r w:rsidRPr="002C0063">
              <w:rPr>
                <w:strike/>
                <w:highlight w:val="darkGray"/>
              </w:rPr>
              <w:t>and</w:t>
            </w:r>
            <w:r w:rsidRPr="002C0063">
              <w:rPr>
                <w:highlight w:val="darkGray"/>
              </w:rPr>
              <w:t>] juvenile jurisdiction as provided by Section 26.042(b)</w:t>
            </w:r>
            <w:r w:rsidRPr="002C0063">
              <w:rPr>
                <w:highlight w:val="darkGray"/>
                <w:u w:val="single"/>
              </w:rPr>
              <w:t>, and, concurrent with the district court, the</w:t>
            </w:r>
            <w:r w:rsidRPr="002C0063">
              <w:rPr>
                <w:highlight w:val="darkGray"/>
              </w:rPr>
              <w:t xml:space="preserve"> [</w:t>
            </w:r>
            <w:r w:rsidRPr="002C0063">
              <w:rPr>
                <w:strike/>
                <w:highlight w:val="darkGray"/>
              </w:rPr>
              <w:t>but has no other</w:t>
            </w:r>
            <w:r w:rsidRPr="002C0063">
              <w:rPr>
                <w:highlight w:val="darkGray"/>
              </w:rPr>
              <w:t xml:space="preserve">] civil jurisdiction </w:t>
            </w:r>
            <w:r w:rsidRPr="002C0063">
              <w:rPr>
                <w:highlight w:val="darkGray"/>
                <w:u w:val="single"/>
              </w:rPr>
              <w:t>of a county court</w:t>
            </w:r>
            <w:r w:rsidRPr="002C0063">
              <w:rPr>
                <w:highlight w:val="darkGray"/>
              </w:rPr>
              <w:t>.</w:t>
            </w:r>
          </w:p>
          <w:p w:rsidR="00AA56E9" w:rsidRDefault="00AA56E9">
            <w:pPr>
              <w:jc w:val="both"/>
            </w:pPr>
          </w:p>
        </w:tc>
        <w:tc>
          <w:tcPr>
            <w:tcW w:w="6480" w:type="dxa"/>
          </w:tcPr>
          <w:p w:rsidR="00AA56E9" w:rsidRDefault="00012EA8">
            <w:pPr>
              <w:jc w:val="both"/>
            </w:pPr>
            <w:r>
              <w:t xml:space="preserve">SECTION 1.  Section 26.187, Government Code, is </w:t>
            </w:r>
            <w:r w:rsidRPr="002C0063">
              <w:rPr>
                <w:highlight w:val="darkGray"/>
              </w:rPr>
              <w:t>repealed</w:t>
            </w:r>
            <w:r>
              <w:t>.</w:t>
            </w:r>
          </w:p>
          <w:p w:rsidR="00AA56E9" w:rsidRDefault="00AA56E9">
            <w:pPr>
              <w:jc w:val="both"/>
            </w:pPr>
          </w:p>
        </w:tc>
        <w:tc>
          <w:tcPr>
            <w:tcW w:w="5760" w:type="dxa"/>
          </w:tcPr>
          <w:p w:rsidR="00AA56E9" w:rsidRDefault="00AA56E9">
            <w:pPr>
              <w:jc w:val="both"/>
            </w:pPr>
          </w:p>
        </w:tc>
      </w:tr>
      <w:tr w:rsidR="00AA56E9">
        <w:tc>
          <w:tcPr>
            <w:tcW w:w="6473" w:type="dxa"/>
          </w:tcPr>
          <w:p w:rsidR="00AA56E9" w:rsidRDefault="00012EA8">
            <w:pPr>
              <w:jc w:val="both"/>
            </w:pPr>
            <w:r>
              <w:t>SECTION 2.  The change in law made by this Act applies only to an action filed on or after the effective date of this Act. An action filed before the effective date of this Act is governed by the law in effect on the date the action was filed, and the former law is continued in effect for that purpose.</w:t>
            </w:r>
          </w:p>
          <w:p w:rsidR="00AA56E9" w:rsidRDefault="00AA56E9">
            <w:pPr>
              <w:jc w:val="both"/>
            </w:pPr>
          </w:p>
        </w:tc>
        <w:tc>
          <w:tcPr>
            <w:tcW w:w="6480" w:type="dxa"/>
          </w:tcPr>
          <w:p w:rsidR="00AA56E9" w:rsidRDefault="00012EA8">
            <w:pPr>
              <w:jc w:val="both"/>
            </w:pPr>
            <w:r>
              <w:t>SECTION 2. Same as House version.</w:t>
            </w:r>
          </w:p>
          <w:p w:rsidR="00AA56E9" w:rsidRDefault="00AA56E9">
            <w:pPr>
              <w:jc w:val="both"/>
            </w:pPr>
          </w:p>
          <w:p w:rsidR="00AA56E9" w:rsidRDefault="00AA56E9">
            <w:pPr>
              <w:jc w:val="both"/>
            </w:pPr>
          </w:p>
        </w:tc>
        <w:tc>
          <w:tcPr>
            <w:tcW w:w="5760" w:type="dxa"/>
          </w:tcPr>
          <w:p w:rsidR="00AA56E9" w:rsidRDefault="00AA56E9">
            <w:pPr>
              <w:jc w:val="both"/>
            </w:pPr>
          </w:p>
        </w:tc>
      </w:tr>
      <w:tr w:rsidR="00AA56E9">
        <w:tc>
          <w:tcPr>
            <w:tcW w:w="6473" w:type="dxa"/>
          </w:tcPr>
          <w:p w:rsidR="00AA56E9" w:rsidRDefault="00012EA8">
            <w:pPr>
              <w:jc w:val="both"/>
            </w:pPr>
            <w:r>
              <w:t>SECTION 3.  This Act takes effect September 1, 2013.</w:t>
            </w:r>
          </w:p>
          <w:p w:rsidR="00AA56E9" w:rsidRDefault="00AA56E9">
            <w:pPr>
              <w:jc w:val="both"/>
            </w:pPr>
          </w:p>
        </w:tc>
        <w:tc>
          <w:tcPr>
            <w:tcW w:w="6480" w:type="dxa"/>
          </w:tcPr>
          <w:p w:rsidR="00AA56E9" w:rsidRDefault="00012EA8">
            <w:pPr>
              <w:jc w:val="both"/>
            </w:pPr>
            <w:r>
              <w:t>SECTION 3. Same as House version.</w:t>
            </w:r>
          </w:p>
          <w:p w:rsidR="00AA56E9" w:rsidRDefault="00AA56E9">
            <w:pPr>
              <w:jc w:val="both"/>
            </w:pPr>
          </w:p>
          <w:p w:rsidR="00AA56E9" w:rsidRDefault="00AA56E9">
            <w:pPr>
              <w:jc w:val="both"/>
            </w:pPr>
          </w:p>
        </w:tc>
        <w:tc>
          <w:tcPr>
            <w:tcW w:w="5760" w:type="dxa"/>
          </w:tcPr>
          <w:p w:rsidR="00AA56E9" w:rsidRDefault="00AA56E9">
            <w:pPr>
              <w:jc w:val="both"/>
            </w:pPr>
          </w:p>
        </w:tc>
      </w:tr>
    </w:tbl>
    <w:p w:rsidR="008D69AF" w:rsidRDefault="008D69AF"/>
    <w:sectPr w:rsidR="008D69AF" w:rsidSect="00AA56E9">
      <w:headerReference w:type="even" r:id="rId7"/>
      <w:headerReference w:type="default" r:id="rId8"/>
      <w:footerReference w:type="even" r:id="rId9"/>
      <w:footerReference w:type="default" r:id="rId10"/>
      <w:headerReference w:type="first" r:id="rId11"/>
      <w:footerReference w:type="first" r:id="rId12"/>
      <w:type w:val="continuous"/>
      <w:pgSz w:w="20160" w:h="12240" w:orient="landscape" w:code="5"/>
      <w:pgMar w:top="720" w:right="720" w:bottom="720" w:left="72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0063" w:rsidRDefault="002C0063" w:rsidP="00AA56E9">
      <w:r>
        <w:separator/>
      </w:r>
    </w:p>
  </w:endnote>
  <w:endnote w:type="continuationSeparator" w:id="0">
    <w:p w:rsidR="002C0063" w:rsidRDefault="002C0063" w:rsidP="00AA56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8B" w:rsidRDefault="00670A8B">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A56E9" w:rsidRDefault="002B5A35">
    <w:pPr>
      <w:tabs>
        <w:tab w:val="center" w:pos="9360"/>
        <w:tab w:val="right" w:pos="18720"/>
      </w:tabs>
    </w:pPr>
    <w:fldSimple w:instr=" DOCPROPERTY  CCRF  \* MERGEFORMAT ">
      <w:r w:rsidR="006B482D">
        <w:t xml:space="preserve"> </w:t>
      </w:r>
    </w:fldSimple>
    <w:r w:rsidR="00012EA8">
      <w:tab/>
    </w:r>
    <w:r w:rsidR="00AA56E9">
      <w:fldChar w:fldCharType="begin"/>
    </w:r>
    <w:r w:rsidR="00012EA8">
      <w:instrText xml:space="preserve"> PAGE </w:instrText>
    </w:r>
    <w:r w:rsidR="00AA56E9">
      <w:fldChar w:fldCharType="separate"/>
    </w:r>
    <w:r w:rsidR="00DC3086">
      <w:rPr>
        <w:noProof/>
      </w:rPr>
      <w:t>1</w:t>
    </w:r>
    <w:r w:rsidR="00AA56E9">
      <w:fldChar w:fldCharType="end"/>
    </w:r>
    <w:r w:rsidR="00012EA8">
      <w:tab/>
    </w:r>
    <w:r>
      <w:fldChar w:fldCharType="begin"/>
    </w:r>
    <w:r>
      <w:instrText xml:space="preserve"> DOCPROPERTY  OTID  \* MERGEFORMAT </w:instrText>
    </w:r>
    <w: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8B" w:rsidRDefault="00670A8B">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0063" w:rsidRDefault="002C0063" w:rsidP="00AA56E9">
      <w:r>
        <w:separator/>
      </w:r>
    </w:p>
  </w:footnote>
  <w:footnote w:type="continuationSeparator" w:id="0">
    <w:p w:rsidR="002C0063" w:rsidRDefault="002C0063" w:rsidP="00AA56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8B" w:rsidRDefault="00670A8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8B" w:rsidRDefault="00670A8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0A8B" w:rsidRDefault="00670A8B">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79"/>
  <w:attachedTemplate r:id="rId1"/>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6E9"/>
    <w:rsid w:val="00012EA8"/>
    <w:rsid w:val="001C39E6"/>
    <w:rsid w:val="002B5A35"/>
    <w:rsid w:val="002C0063"/>
    <w:rsid w:val="00670A8B"/>
    <w:rsid w:val="006B482D"/>
    <w:rsid w:val="008D69AF"/>
    <w:rsid w:val="00A6103F"/>
    <w:rsid w:val="00AA56E9"/>
    <w:rsid w:val="00DC3086"/>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8B"/>
    <w:pPr>
      <w:tabs>
        <w:tab w:val="center" w:pos="4680"/>
        <w:tab w:val="right" w:pos="9360"/>
      </w:tabs>
    </w:pPr>
  </w:style>
  <w:style w:type="character" w:customStyle="1" w:styleId="HeaderChar">
    <w:name w:val="Header Char"/>
    <w:link w:val="Header"/>
    <w:uiPriority w:val="99"/>
    <w:rsid w:val="00670A8B"/>
    <w:rPr>
      <w:sz w:val="22"/>
    </w:rPr>
  </w:style>
  <w:style w:type="paragraph" w:styleId="Footer">
    <w:name w:val="footer"/>
    <w:basedOn w:val="Normal"/>
    <w:link w:val="FooterChar"/>
    <w:uiPriority w:val="99"/>
    <w:unhideWhenUsed/>
    <w:rsid w:val="00670A8B"/>
    <w:pPr>
      <w:tabs>
        <w:tab w:val="center" w:pos="4680"/>
        <w:tab w:val="right" w:pos="9360"/>
      </w:tabs>
    </w:pPr>
  </w:style>
  <w:style w:type="character" w:customStyle="1" w:styleId="FooterChar">
    <w:name w:val="Footer Char"/>
    <w:link w:val="Footer"/>
    <w:uiPriority w:val="99"/>
    <w:rsid w:val="00670A8B"/>
    <w:rPr>
      <w:sz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56E9"/>
    <w:rPr>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70A8B"/>
    <w:pPr>
      <w:tabs>
        <w:tab w:val="center" w:pos="4680"/>
        <w:tab w:val="right" w:pos="9360"/>
      </w:tabs>
    </w:pPr>
  </w:style>
  <w:style w:type="character" w:customStyle="1" w:styleId="HeaderChar">
    <w:name w:val="Header Char"/>
    <w:link w:val="Header"/>
    <w:uiPriority w:val="99"/>
    <w:rsid w:val="00670A8B"/>
    <w:rPr>
      <w:sz w:val="22"/>
    </w:rPr>
  </w:style>
  <w:style w:type="paragraph" w:styleId="Footer">
    <w:name w:val="footer"/>
    <w:basedOn w:val="Normal"/>
    <w:link w:val="FooterChar"/>
    <w:uiPriority w:val="99"/>
    <w:unhideWhenUsed/>
    <w:rsid w:val="00670A8B"/>
    <w:pPr>
      <w:tabs>
        <w:tab w:val="center" w:pos="4680"/>
        <w:tab w:val="right" w:pos="9360"/>
      </w:tabs>
    </w:pPr>
  </w:style>
  <w:style w:type="character" w:customStyle="1" w:styleId="FooterChar">
    <w:name w:val="Footer Char"/>
    <w:link w:val="Footer"/>
    <w:uiPriority w:val="99"/>
    <w:rsid w:val="00670A8B"/>
    <w:rPr>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X:\Sen-Hse%20Amend%20Analysis\SXS%20Word%20Template\SX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SXS.dotm</Template>
  <TotalTime>1</TotalTime>
  <Pages>1</Pages>
  <Words>148</Words>
  <Characters>850</Characters>
  <Application>Microsoft Office Word</Application>
  <DocSecurity>4</DocSecurity>
  <Lines>7</Lines>
  <Paragraphs>1</Paragraphs>
  <ScaleCrop>false</ScaleCrop>
  <HeadingPairs>
    <vt:vector size="2" baseType="variant">
      <vt:variant>
        <vt:lpstr>Title</vt:lpstr>
      </vt:variant>
      <vt:variant>
        <vt:i4>1</vt:i4>
      </vt:variant>
    </vt:vector>
  </HeadingPairs>
  <TitlesOfParts>
    <vt:vector size="1" baseType="lpstr">
      <vt:lpstr>HB616-SAA</vt:lpstr>
    </vt:vector>
  </TitlesOfParts>
  <Company>Texas Legislative Council</Company>
  <LinksUpToDate>false</LinksUpToDate>
  <CharactersWithSpaces>997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HB616-SAA</dc:title>
  <dc:creator>YES</dc:creator>
  <cp:lastModifiedBy>YES</cp:lastModifiedBy>
  <cp:revision>2</cp:revision>
  <cp:lastPrinted>2013-05-16T17:54:00Z</cp:lastPrinted>
  <dcterms:created xsi:type="dcterms:W3CDTF">2013-05-16T18:21:00Z</dcterms:created>
  <dcterms:modified xsi:type="dcterms:W3CDTF">2013-05-16T18:21:00Z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TID">
    <vt:lpwstr/>
  </property>
  <property fmtid="{D5CDD505-2E9C-101B-9397-08002B2CF9AE}" pid="3" name="CCRF">
    <vt:lpwstr> </vt:lpwstr>
  </property>
</Properties>
</file>