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02AD5" w:rsidTr="00302AD5">
        <w:trPr>
          <w:cantSplit/>
          <w:tblHeader/>
        </w:trPr>
        <w:tc>
          <w:tcPr>
            <w:tcW w:w="18740" w:type="dxa"/>
            <w:gridSpan w:val="3"/>
          </w:tcPr>
          <w:p w:rsidR="002770B7" w:rsidRDefault="002B1C9F">
            <w:pPr>
              <w:ind w:left="650"/>
              <w:jc w:val="center"/>
            </w:pPr>
            <w:bookmarkStart w:id="0" w:name="_GoBack"/>
            <w:bookmarkEnd w:id="0"/>
            <w:r>
              <w:rPr>
                <w:b/>
              </w:rPr>
              <w:t>House Bill  680</w:t>
            </w:r>
          </w:p>
          <w:p w:rsidR="002770B7" w:rsidRDefault="002B1C9F">
            <w:pPr>
              <w:ind w:left="650"/>
              <w:jc w:val="center"/>
            </w:pPr>
            <w:r>
              <w:t>Senate Amendments</w:t>
            </w:r>
          </w:p>
          <w:p w:rsidR="002770B7" w:rsidRDefault="002B1C9F">
            <w:pPr>
              <w:ind w:left="650"/>
              <w:jc w:val="center"/>
            </w:pPr>
            <w:r>
              <w:t>Section-by-Section Analysis</w:t>
            </w:r>
          </w:p>
          <w:p w:rsidR="002770B7" w:rsidRDefault="002770B7">
            <w:pPr>
              <w:jc w:val="center"/>
            </w:pPr>
          </w:p>
        </w:tc>
      </w:tr>
      <w:tr w:rsidR="002770B7" w:rsidTr="00302AD5">
        <w:trPr>
          <w:cantSplit/>
          <w:tblHeader/>
        </w:trPr>
        <w:tc>
          <w:tcPr>
            <w:tcW w:w="6248" w:type="dxa"/>
            <w:tcMar>
              <w:bottom w:w="188" w:type="dxa"/>
              <w:right w:w="0" w:type="dxa"/>
            </w:tcMar>
          </w:tcPr>
          <w:p w:rsidR="002770B7" w:rsidRDefault="002B1C9F">
            <w:pPr>
              <w:jc w:val="center"/>
            </w:pPr>
            <w:r>
              <w:t>HOUSE VERSION</w:t>
            </w:r>
          </w:p>
        </w:tc>
        <w:tc>
          <w:tcPr>
            <w:tcW w:w="6248" w:type="dxa"/>
            <w:tcMar>
              <w:bottom w:w="188" w:type="dxa"/>
              <w:right w:w="0" w:type="dxa"/>
            </w:tcMar>
          </w:tcPr>
          <w:p w:rsidR="002770B7" w:rsidRDefault="002B1C9F">
            <w:pPr>
              <w:jc w:val="center"/>
            </w:pPr>
            <w:r>
              <w:t>SENATE VERSION (CS)</w:t>
            </w:r>
          </w:p>
        </w:tc>
        <w:tc>
          <w:tcPr>
            <w:tcW w:w="6244" w:type="dxa"/>
            <w:tcMar>
              <w:bottom w:w="188" w:type="dxa"/>
              <w:right w:w="0" w:type="dxa"/>
            </w:tcMar>
          </w:tcPr>
          <w:p w:rsidR="002770B7" w:rsidRDefault="002B1C9F">
            <w:pPr>
              <w:jc w:val="center"/>
            </w:pPr>
            <w:r>
              <w:t>CONFERENCE</w:t>
            </w:r>
          </w:p>
        </w:tc>
      </w:tr>
      <w:tr w:rsidR="002770B7" w:rsidTr="00302AD5">
        <w:tc>
          <w:tcPr>
            <w:tcW w:w="6248" w:type="dxa"/>
          </w:tcPr>
          <w:p w:rsidR="002770B7" w:rsidRDefault="002B1C9F">
            <w:pPr>
              <w:jc w:val="both"/>
            </w:pPr>
            <w:r>
              <w:t>SECTION 1.  Section 202.001, Property Code, is amended by adding Subdivision (5) to read as follows:</w:t>
            </w:r>
          </w:p>
          <w:p w:rsidR="002770B7" w:rsidRDefault="002B1C9F">
            <w:pPr>
              <w:jc w:val="both"/>
            </w:pPr>
            <w:r>
              <w:rPr>
                <w:u w:val="single"/>
              </w:rPr>
              <w:t xml:space="preserve">(5)  "Front yard" means a yard extending the full width of </w:t>
            </w:r>
            <w:r w:rsidRPr="000731B2">
              <w:rPr>
                <w:highlight w:val="darkGray"/>
                <w:u w:val="single"/>
              </w:rPr>
              <w:t>a</w:t>
            </w:r>
            <w:r>
              <w:rPr>
                <w:u w:val="single"/>
              </w:rPr>
              <w:t xml:space="preserve"> lot between the front lot line and the front setback line.</w:t>
            </w:r>
          </w:p>
          <w:p w:rsidR="002770B7" w:rsidRDefault="002770B7">
            <w:pPr>
              <w:jc w:val="both"/>
            </w:pPr>
          </w:p>
        </w:tc>
        <w:tc>
          <w:tcPr>
            <w:tcW w:w="6248" w:type="dxa"/>
          </w:tcPr>
          <w:p w:rsidR="002770B7" w:rsidRDefault="002B1C9F">
            <w:pPr>
              <w:jc w:val="both"/>
            </w:pPr>
            <w:r>
              <w:t>SECTION 1.  Section 202.001, Property Code, is amended by adding Subdivision (5) to read as follows:</w:t>
            </w:r>
          </w:p>
          <w:p w:rsidR="002770B7" w:rsidRDefault="002B1C9F">
            <w:pPr>
              <w:jc w:val="both"/>
            </w:pPr>
            <w:r>
              <w:rPr>
                <w:u w:val="single"/>
              </w:rPr>
              <w:t xml:space="preserve">(5)  "Front yard" means a yard </w:t>
            </w:r>
            <w:r w:rsidRPr="000731B2">
              <w:rPr>
                <w:highlight w:val="darkGray"/>
                <w:u w:val="single"/>
              </w:rPr>
              <w:t>within a lot having a front building setback line with a setback of not less than 20 feet</w:t>
            </w:r>
            <w:r>
              <w:rPr>
                <w:u w:val="single"/>
              </w:rPr>
              <w:t xml:space="preserve"> extending the full width of </w:t>
            </w:r>
            <w:r w:rsidRPr="000731B2">
              <w:rPr>
                <w:highlight w:val="darkGray"/>
                <w:u w:val="single"/>
              </w:rPr>
              <w:t>the</w:t>
            </w:r>
            <w:r>
              <w:rPr>
                <w:u w:val="single"/>
              </w:rPr>
              <w:t xml:space="preserve"> lot between the front lot line and the front </w:t>
            </w:r>
            <w:r w:rsidRPr="000731B2">
              <w:rPr>
                <w:highlight w:val="darkGray"/>
                <w:u w:val="single"/>
              </w:rPr>
              <w:t>building</w:t>
            </w:r>
            <w:r>
              <w:rPr>
                <w:u w:val="single"/>
              </w:rPr>
              <w:t xml:space="preserve"> setback line.</w:t>
            </w:r>
          </w:p>
        </w:tc>
        <w:tc>
          <w:tcPr>
            <w:tcW w:w="6244" w:type="dxa"/>
          </w:tcPr>
          <w:p w:rsidR="002770B7" w:rsidRDefault="002770B7">
            <w:pPr>
              <w:jc w:val="both"/>
            </w:pPr>
          </w:p>
        </w:tc>
      </w:tr>
      <w:tr w:rsidR="002770B7" w:rsidTr="00302AD5">
        <w:tc>
          <w:tcPr>
            <w:tcW w:w="6248" w:type="dxa"/>
          </w:tcPr>
          <w:p w:rsidR="002770B7" w:rsidRDefault="002B1C9F">
            <w:pPr>
              <w:jc w:val="both"/>
            </w:pPr>
            <w:r>
              <w:t>SECTION 2.  Section 202.011</w:t>
            </w:r>
            <w:r w:rsidRPr="00101258">
              <w:t>(b),</w:t>
            </w:r>
            <w:r>
              <w:t xml:space="preserve"> Property Code, as added by Chapter 1028 (H.B. 2779), Acts of the 82nd Legislature, Regular Session, 2011, is amended to read as follows:</w:t>
            </w:r>
          </w:p>
          <w:p w:rsidR="00302AD5" w:rsidRDefault="00302AD5">
            <w:pPr>
              <w:jc w:val="both"/>
            </w:pPr>
          </w:p>
          <w:p w:rsidR="002770B7" w:rsidRDefault="002B1C9F">
            <w:pPr>
              <w:jc w:val="both"/>
            </w:pPr>
            <w:r>
              <w:t>(b)  A property owners' association may adopt or enforce reasonable dedicatory instrument provisions:</w:t>
            </w:r>
          </w:p>
          <w:p w:rsidR="002770B7" w:rsidRDefault="002B1C9F">
            <w:pPr>
              <w:jc w:val="both"/>
            </w:pPr>
            <w:r>
              <w:t>(1)  that require:</w:t>
            </w:r>
          </w:p>
          <w:p w:rsidR="002770B7" w:rsidRDefault="002B1C9F">
            <w:pPr>
              <w:jc w:val="both"/>
            </w:pPr>
            <w:r>
              <w:t>(A)  the flag of the United States be displayed in accordance with 4 U.S.C. Sections 5-10;</w:t>
            </w:r>
          </w:p>
          <w:p w:rsidR="002770B7" w:rsidRDefault="002B1C9F">
            <w:pPr>
              <w:jc w:val="both"/>
            </w:pPr>
            <w:r>
              <w:t>(B)  the flag of the State of Texas be displayed in accordance with Chapter 3100, Government Code;</w:t>
            </w:r>
          </w:p>
          <w:p w:rsidR="002770B7" w:rsidRDefault="002B1C9F">
            <w:pPr>
              <w:jc w:val="both"/>
            </w:pPr>
            <w:r>
              <w:t>(C)  a flagpole attached to a dwelling or a freestanding flagpole be constructed of permanent, long-lasting materials, with a finish appropriate to the materials used in the construction of the flagpole and harmonious with the dwelling;</w:t>
            </w:r>
          </w:p>
          <w:p w:rsidR="002770B7" w:rsidRDefault="002B1C9F">
            <w:pPr>
              <w:jc w:val="both"/>
            </w:pPr>
            <w:r>
              <w:t>(D)  the display of a flag, or the location and construction of the supporting flagpole, to comply with applicable zoning ordinances, easements, and setbacks of record; and</w:t>
            </w:r>
          </w:p>
          <w:p w:rsidR="002770B7" w:rsidRDefault="002B1C9F">
            <w:pPr>
              <w:jc w:val="both"/>
            </w:pPr>
            <w:r>
              <w:t>(E)  a displayed flag and the flagpole on which it is flown be maintained in good condition and that any deteriorated flag or deteriorated or structurally unsafe flagpole be repaired, replaced, or removed;</w:t>
            </w:r>
          </w:p>
          <w:p w:rsidR="002770B7" w:rsidRDefault="002B1C9F">
            <w:pPr>
              <w:jc w:val="both"/>
            </w:pPr>
            <w:r>
              <w:t xml:space="preserve">(2)  that regulate the size, number, and location of flagpoles on which flags are displayed, except that the regulation may </w:t>
            </w:r>
            <w:r>
              <w:lastRenderedPageBreak/>
              <w:t>not prevent the installation or erection of at least one flagpole per property that</w:t>
            </w:r>
            <w:r>
              <w:rPr>
                <w:u w:val="single"/>
              </w:rPr>
              <w:t>:</w:t>
            </w:r>
          </w:p>
          <w:p w:rsidR="002770B7" w:rsidRDefault="002B1C9F">
            <w:pPr>
              <w:jc w:val="both"/>
              <w:rPr>
                <w:u w:val="single"/>
              </w:rPr>
            </w:pPr>
            <w:r>
              <w:rPr>
                <w:u w:val="single"/>
              </w:rPr>
              <w:t>(A)</w:t>
            </w:r>
            <w:r>
              <w:t xml:space="preserve">  is not more than 20 feet in height</w:t>
            </w:r>
            <w:r>
              <w:rPr>
                <w:u w:val="single"/>
              </w:rPr>
              <w:t>; or</w:t>
            </w:r>
          </w:p>
          <w:p w:rsidR="00302AD5" w:rsidRDefault="00302AD5">
            <w:pPr>
              <w:jc w:val="both"/>
              <w:rPr>
                <w:u w:val="single"/>
              </w:rPr>
            </w:pPr>
          </w:p>
          <w:p w:rsidR="00302AD5" w:rsidRDefault="00302AD5">
            <w:pPr>
              <w:jc w:val="both"/>
            </w:pPr>
          </w:p>
          <w:p w:rsidR="002770B7" w:rsidRDefault="002B1C9F">
            <w:pPr>
              <w:jc w:val="both"/>
            </w:pPr>
            <w:r>
              <w:rPr>
                <w:u w:val="single"/>
              </w:rPr>
              <w:t xml:space="preserve">(B)  </w:t>
            </w:r>
            <w:r w:rsidRPr="000731B2">
              <w:rPr>
                <w:highlight w:val="darkGray"/>
                <w:u w:val="single"/>
              </w:rPr>
              <w:t>is located in the front yard of the property</w:t>
            </w:r>
            <w:r>
              <w:t>;</w:t>
            </w:r>
          </w:p>
          <w:p w:rsidR="00302AD5" w:rsidRDefault="00302AD5">
            <w:pPr>
              <w:jc w:val="both"/>
            </w:pPr>
          </w:p>
          <w:p w:rsidR="00302AD5" w:rsidRDefault="00302AD5">
            <w:pPr>
              <w:jc w:val="both"/>
            </w:pPr>
          </w:p>
          <w:p w:rsidR="002770B7" w:rsidRDefault="002B1C9F">
            <w:pPr>
              <w:jc w:val="both"/>
            </w:pPr>
            <w:r>
              <w:t>(3)  that govern the size of a displayed flag;</w:t>
            </w:r>
          </w:p>
          <w:p w:rsidR="002770B7" w:rsidRDefault="002B1C9F">
            <w:pPr>
              <w:jc w:val="both"/>
            </w:pPr>
            <w:r>
              <w:t>(4)  that regulate the size, location, and intensity of any lights used to illuminate a displayed flag;</w:t>
            </w:r>
          </w:p>
          <w:p w:rsidR="002770B7" w:rsidRDefault="002B1C9F">
            <w:pPr>
              <w:jc w:val="both"/>
            </w:pPr>
            <w:r>
              <w:t>(5)  that impose reasonable restrictions to abate noise caused by an external halyard of a flagpole; or</w:t>
            </w:r>
          </w:p>
          <w:p w:rsidR="002770B7" w:rsidRDefault="002B1C9F">
            <w:pPr>
              <w:jc w:val="both"/>
            </w:pPr>
            <w:r>
              <w:t>(6)  that prohibit a property owner from locating a displayed flag or flagpole on property that is:</w:t>
            </w:r>
          </w:p>
          <w:p w:rsidR="002770B7" w:rsidRDefault="002B1C9F">
            <w:pPr>
              <w:jc w:val="both"/>
            </w:pPr>
            <w:r>
              <w:t>(A)  owned or maintained by the property owners' association; or</w:t>
            </w:r>
          </w:p>
          <w:p w:rsidR="002770B7" w:rsidRDefault="002B1C9F">
            <w:pPr>
              <w:jc w:val="both"/>
            </w:pPr>
            <w:r>
              <w:t>(B)  owned in common by the members of the association.</w:t>
            </w:r>
          </w:p>
          <w:p w:rsidR="002770B7" w:rsidRDefault="002770B7">
            <w:pPr>
              <w:jc w:val="both"/>
            </w:pPr>
          </w:p>
        </w:tc>
        <w:tc>
          <w:tcPr>
            <w:tcW w:w="6248" w:type="dxa"/>
          </w:tcPr>
          <w:p w:rsidR="00302AD5" w:rsidRPr="00302AD5" w:rsidRDefault="00302AD5" w:rsidP="00302AD5">
            <w:pPr>
              <w:jc w:val="both"/>
            </w:pPr>
            <w:r w:rsidRPr="00302AD5">
              <w:lastRenderedPageBreak/>
              <w:t xml:space="preserve">SECTION 2.  Section 202.011, Property Code, as added by Chapter 1028 (H.B. 2779), Acts of the 82nd Legislature, Regular Session, 2011, is amended </w:t>
            </w:r>
            <w:r w:rsidRPr="00101258">
              <w:t>by amending Subsection (b)</w:t>
            </w:r>
            <w:r w:rsidRPr="000731B2">
              <w:rPr>
                <w:highlight w:val="darkGray"/>
              </w:rPr>
              <w:t xml:space="preserve"> and adding Subsection (c)</w:t>
            </w:r>
            <w:r w:rsidRPr="00302AD5">
              <w:t xml:space="preserve"> to read as follows:</w:t>
            </w:r>
          </w:p>
          <w:p w:rsidR="00302AD5" w:rsidRPr="00302AD5" w:rsidRDefault="00302AD5" w:rsidP="00302AD5">
            <w:pPr>
              <w:jc w:val="both"/>
            </w:pPr>
            <w:r w:rsidRPr="00302AD5">
              <w:t>(b)  A property owners' association may adopt or enforce reasonable dedicatory instrument provisions:</w:t>
            </w:r>
          </w:p>
          <w:p w:rsidR="00302AD5" w:rsidRPr="00302AD5" w:rsidRDefault="00302AD5" w:rsidP="00302AD5">
            <w:pPr>
              <w:jc w:val="both"/>
            </w:pPr>
            <w:r w:rsidRPr="00302AD5">
              <w:t>(1)  that require:</w:t>
            </w:r>
          </w:p>
          <w:p w:rsidR="00302AD5" w:rsidRPr="00302AD5" w:rsidRDefault="00302AD5" w:rsidP="00302AD5">
            <w:pPr>
              <w:jc w:val="both"/>
            </w:pPr>
            <w:r w:rsidRPr="00302AD5">
              <w:t>(A)  the flag of the United States be displayed in accordance with 4 U.S.C. Sections 5-10;</w:t>
            </w:r>
          </w:p>
          <w:p w:rsidR="00302AD5" w:rsidRPr="00302AD5" w:rsidRDefault="00302AD5" w:rsidP="00302AD5">
            <w:pPr>
              <w:jc w:val="both"/>
            </w:pPr>
            <w:r w:rsidRPr="00302AD5">
              <w:t>(B)  the flag of the State of Texas be displayed in accordance with Chapter 3100, Government Code;</w:t>
            </w:r>
          </w:p>
          <w:p w:rsidR="00302AD5" w:rsidRPr="00302AD5" w:rsidRDefault="00302AD5" w:rsidP="00302AD5">
            <w:pPr>
              <w:jc w:val="both"/>
            </w:pPr>
            <w:r w:rsidRPr="00302AD5">
              <w:t>(C)  a flagpole attached to a dwelling or a freestanding flagpole be constructed of permanent, long-lasting materials, with a finish appropriate to the materials used in the construction of the flagpole and harmonious with the dwelling;</w:t>
            </w:r>
          </w:p>
          <w:p w:rsidR="00302AD5" w:rsidRPr="00302AD5" w:rsidRDefault="00302AD5" w:rsidP="00302AD5">
            <w:pPr>
              <w:jc w:val="both"/>
            </w:pPr>
            <w:r w:rsidRPr="00302AD5">
              <w:t>(D)  the display of a flag, or the location and construction of the supporting flagpole, to comply with applicable zoning ordinances, easements, and setbacks of record; and</w:t>
            </w:r>
          </w:p>
          <w:p w:rsidR="00302AD5" w:rsidRPr="00302AD5" w:rsidRDefault="00302AD5" w:rsidP="00302AD5">
            <w:pPr>
              <w:jc w:val="both"/>
            </w:pPr>
            <w:r w:rsidRPr="00302AD5">
              <w:t>(E)  a displayed flag and the flagpole on which it is flown be maintained in good condition and that any deteriorated flag or deteriorated or structurally unsafe flagpole be repaired, replaced, or removed;</w:t>
            </w:r>
          </w:p>
          <w:p w:rsidR="00302AD5" w:rsidRPr="00302AD5" w:rsidRDefault="00302AD5" w:rsidP="00302AD5">
            <w:pPr>
              <w:jc w:val="both"/>
            </w:pPr>
            <w:r w:rsidRPr="00302AD5">
              <w:t xml:space="preserve">(2)  that regulate the size, number, and location of flagpoles on which flags are displayed, except that the regulation may </w:t>
            </w:r>
            <w:r w:rsidRPr="00302AD5">
              <w:lastRenderedPageBreak/>
              <w:t>not prevent the installation or erection of at least one flagpole per property that</w:t>
            </w:r>
            <w:r w:rsidRPr="00302AD5">
              <w:rPr>
                <w:u w:val="single"/>
              </w:rPr>
              <w:t>:</w:t>
            </w:r>
          </w:p>
          <w:p w:rsidR="00302AD5" w:rsidRPr="00302AD5" w:rsidRDefault="00302AD5" w:rsidP="00302AD5">
            <w:pPr>
              <w:jc w:val="both"/>
            </w:pPr>
            <w:r w:rsidRPr="00302AD5">
              <w:rPr>
                <w:u w:val="single"/>
              </w:rPr>
              <w:t>(A)</w:t>
            </w:r>
            <w:r w:rsidRPr="00302AD5">
              <w:t xml:space="preserve">  is not more than 20 feet in height </w:t>
            </w:r>
            <w:r w:rsidRPr="000731B2">
              <w:rPr>
                <w:highlight w:val="darkGray"/>
                <w:u w:val="single"/>
              </w:rPr>
              <w:t>and, subject to applicable zoning ordinances, easements, and setbacks of record, is located in the front yard of the property</w:t>
            </w:r>
            <w:r w:rsidRPr="00302AD5">
              <w:t xml:space="preserve">; </w:t>
            </w:r>
            <w:r w:rsidRPr="00302AD5">
              <w:rPr>
                <w:u w:val="single"/>
              </w:rPr>
              <w:t>or</w:t>
            </w:r>
          </w:p>
          <w:p w:rsidR="00302AD5" w:rsidRPr="00302AD5" w:rsidRDefault="00302AD5" w:rsidP="00302AD5">
            <w:pPr>
              <w:jc w:val="both"/>
            </w:pPr>
            <w:r w:rsidRPr="00302AD5">
              <w:rPr>
                <w:u w:val="single"/>
              </w:rPr>
              <w:t xml:space="preserve">(B)  </w:t>
            </w:r>
            <w:r w:rsidRPr="000731B2">
              <w:rPr>
                <w:highlight w:val="darkGray"/>
                <w:u w:val="single"/>
              </w:rPr>
              <w:t>is attached to any portion of a residential structure owned by the property owner and not maintained by the property owners' association</w:t>
            </w:r>
            <w:r w:rsidRPr="00302AD5">
              <w:rPr>
                <w:u w:val="single"/>
              </w:rPr>
              <w:t>;</w:t>
            </w:r>
          </w:p>
          <w:p w:rsidR="00302AD5" w:rsidRPr="00302AD5" w:rsidRDefault="00302AD5" w:rsidP="00302AD5">
            <w:pPr>
              <w:jc w:val="both"/>
            </w:pPr>
            <w:r w:rsidRPr="00302AD5">
              <w:t>(3)  that govern the size of a displayed flag;</w:t>
            </w:r>
          </w:p>
          <w:p w:rsidR="00302AD5" w:rsidRPr="00302AD5" w:rsidRDefault="00302AD5" w:rsidP="00302AD5">
            <w:pPr>
              <w:jc w:val="both"/>
            </w:pPr>
            <w:r w:rsidRPr="00302AD5">
              <w:t>(4)  that regulate the size, location, and intensity of any lights used to illuminate a displayed flag;</w:t>
            </w:r>
          </w:p>
          <w:p w:rsidR="00302AD5" w:rsidRPr="00302AD5" w:rsidRDefault="00302AD5" w:rsidP="00302AD5">
            <w:pPr>
              <w:jc w:val="both"/>
            </w:pPr>
            <w:r w:rsidRPr="00302AD5">
              <w:t>(5)  that impose reasonable restrictions to abate noise caused by an external halyard of a flagpole; [or]</w:t>
            </w:r>
          </w:p>
          <w:p w:rsidR="00302AD5" w:rsidRPr="00302AD5" w:rsidRDefault="00302AD5" w:rsidP="00302AD5">
            <w:pPr>
              <w:jc w:val="both"/>
            </w:pPr>
            <w:r w:rsidRPr="00302AD5">
              <w:t>(6)  that prohibit a property owner from locating a displayed flag or flagpole on property that is:</w:t>
            </w:r>
          </w:p>
          <w:p w:rsidR="00302AD5" w:rsidRPr="00302AD5" w:rsidRDefault="00302AD5" w:rsidP="00302AD5">
            <w:pPr>
              <w:jc w:val="both"/>
            </w:pPr>
            <w:r w:rsidRPr="00302AD5">
              <w:t>(A)  owned or maintained by the property owners' association; or</w:t>
            </w:r>
          </w:p>
          <w:p w:rsidR="00302AD5" w:rsidRPr="00302AD5" w:rsidRDefault="00302AD5" w:rsidP="00302AD5">
            <w:pPr>
              <w:jc w:val="both"/>
            </w:pPr>
            <w:r w:rsidRPr="00302AD5">
              <w:t>(B)  owned in common by the members of the association</w:t>
            </w:r>
            <w:r w:rsidRPr="00302AD5">
              <w:rPr>
                <w:u w:val="single"/>
              </w:rPr>
              <w:t>; or</w:t>
            </w:r>
          </w:p>
          <w:p w:rsidR="00302AD5" w:rsidRPr="000731B2" w:rsidRDefault="00302AD5" w:rsidP="00302AD5">
            <w:pPr>
              <w:jc w:val="both"/>
              <w:rPr>
                <w:highlight w:val="darkGray"/>
              </w:rPr>
            </w:pPr>
            <w:r w:rsidRPr="000731B2">
              <w:rPr>
                <w:highlight w:val="darkGray"/>
                <w:u w:val="single"/>
              </w:rPr>
              <w:t>(7)  that prohibit a flagpole that was installed without prior approval by the property owners' association or by a committee created in a dedicatory instrument for such purposes that provides decisions within a reasonable period or within a period specified in the dedicatory instrument</w:t>
            </w:r>
            <w:r w:rsidRPr="000731B2">
              <w:rPr>
                <w:highlight w:val="darkGray"/>
              </w:rPr>
              <w:t>.</w:t>
            </w:r>
          </w:p>
          <w:p w:rsidR="002770B7" w:rsidRDefault="00302AD5">
            <w:pPr>
              <w:jc w:val="both"/>
            </w:pPr>
            <w:r w:rsidRPr="000731B2">
              <w:rPr>
                <w:highlight w:val="darkGray"/>
                <w:u w:val="single"/>
              </w:rPr>
              <w:t>(c)  A property owner who has a front yard and who otherwise complies with any permitted property owners' association regulations may elect to install a flagpole in accordance with either Subsection (b)(2)(A) or Subsection (b)(2)(B</w:t>
            </w:r>
            <w:r w:rsidRPr="00302AD5">
              <w:rPr>
                <w:u w:val="single"/>
              </w:rPr>
              <w:t>).</w:t>
            </w:r>
          </w:p>
        </w:tc>
        <w:tc>
          <w:tcPr>
            <w:tcW w:w="6244" w:type="dxa"/>
          </w:tcPr>
          <w:p w:rsidR="002770B7" w:rsidRDefault="002770B7">
            <w:pPr>
              <w:jc w:val="both"/>
            </w:pPr>
          </w:p>
        </w:tc>
      </w:tr>
      <w:tr w:rsidR="002770B7" w:rsidTr="00302AD5">
        <w:tc>
          <w:tcPr>
            <w:tcW w:w="6248" w:type="dxa"/>
          </w:tcPr>
          <w:p w:rsidR="002770B7" w:rsidRDefault="002B1C9F">
            <w:pPr>
              <w:jc w:val="both"/>
            </w:pPr>
            <w:r>
              <w:lastRenderedPageBreak/>
              <w:t xml:space="preserve">SECTION 3.  This Act takes effect immediately if it receives a vote of two-thirds of all the members elected to each house, as provided by Section 39, Article III, Texas Constitution.  If this Act does not receive the vote necessary for immediate </w:t>
            </w:r>
            <w:r>
              <w:lastRenderedPageBreak/>
              <w:t>effect, this Act takes effect September 1, 2013.</w:t>
            </w:r>
          </w:p>
          <w:p w:rsidR="002770B7" w:rsidRDefault="002770B7">
            <w:pPr>
              <w:jc w:val="both"/>
            </w:pPr>
          </w:p>
        </w:tc>
        <w:tc>
          <w:tcPr>
            <w:tcW w:w="6248" w:type="dxa"/>
          </w:tcPr>
          <w:p w:rsidR="002770B7" w:rsidRDefault="002B1C9F">
            <w:pPr>
              <w:jc w:val="both"/>
            </w:pPr>
            <w:r>
              <w:lastRenderedPageBreak/>
              <w:t>SECTION 3. Same as House version.</w:t>
            </w:r>
          </w:p>
          <w:p w:rsidR="002770B7" w:rsidRDefault="002770B7">
            <w:pPr>
              <w:jc w:val="both"/>
            </w:pPr>
          </w:p>
          <w:p w:rsidR="002770B7" w:rsidRDefault="002770B7">
            <w:pPr>
              <w:jc w:val="both"/>
            </w:pPr>
          </w:p>
        </w:tc>
        <w:tc>
          <w:tcPr>
            <w:tcW w:w="6244" w:type="dxa"/>
          </w:tcPr>
          <w:p w:rsidR="002770B7" w:rsidRDefault="002770B7">
            <w:pPr>
              <w:jc w:val="both"/>
            </w:pPr>
          </w:p>
        </w:tc>
      </w:tr>
    </w:tbl>
    <w:p w:rsidR="007A307F" w:rsidRDefault="007A307F"/>
    <w:sectPr w:rsidR="007A307F" w:rsidSect="002770B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B17" w:rsidRDefault="00FB7B17" w:rsidP="002770B7">
      <w:r>
        <w:separator/>
      </w:r>
    </w:p>
  </w:endnote>
  <w:endnote w:type="continuationSeparator" w:id="0">
    <w:p w:rsidR="00FB7B17" w:rsidRDefault="00FB7B17" w:rsidP="0027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37" w:rsidRDefault="00B13A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0B7" w:rsidRDefault="00B13A37">
    <w:pPr>
      <w:tabs>
        <w:tab w:val="center" w:pos="9360"/>
        <w:tab w:val="right" w:pos="18720"/>
      </w:tabs>
    </w:pPr>
    <w:fldSimple w:instr=" DOCPROPERTY  CCRF  \* MERGEFORMAT ">
      <w:r w:rsidR="000731B2">
        <w:t xml:space="preserve"> </w:t>
      </w:r>
    </w:fldSimple>
    <w:r w:rsidR="002B1C9F">
      <w:tab/>
    </w:r>
    <w:r w:rsidR="002770B7">
      <w:fldChar w:fldCharType="begin"/>
    </w:r>
    <w:r w:rsidR="002B1C9F">
      <w:instrText xml:space="preserve"> PAGE </w:instrText>
    </w:r>
    <w:r w:rsidR="002770B7">
      <w:fldChar w:fldCharType="separate"/>
    </w:r>
    <w:r w:rsidR="002520B4">
      <w:rPr>
        <w:noProof/>
      </w:rPr>
      <w:t>1</w:t>
    </w:r>
    <w:r w:rsidR="002770B7">
      <w:fldChar w:fldCharType="end"/>
    </w:r>
    <w:r w:rsidR="002B1C9F">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37" w:rsidRDefault="00B13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B17" w:rsidRDefault="00FB7B17" w:rsidP="002770B7">
      <w:r>
        <w:separator/>
      </w:r>
    </w:p>
  </w:footnote>
  <w:footnote w:type="continuationSeparator" w:id="0">
    <w:p w:rsidR="00FB7B17" w:rsidRDefault="00FB7B17" w:rsidP="00277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37" w:rsidRDefault="00B13A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37" w:rsidRDefault="00B13A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37" w:rsidRDefault="00B13A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B7"/>
    <w:rsid w:val="000731B2"/>
    <w:rsid w:val="00101258"/>
    <w:rsid w:val="002520B4"/>
    <w:rsid w:val="002770B7"/>
    <w:rsid w:val="002B1C9F"/>
    <w:rsid w:val="00302AD5"/>
    <w:rsid w:val="007A307F"/>
    <w:rsid w:val="00B13A37"/>
    <w:rsid w:val="00F4550D"/>
    <w:rsid w:val="00FB7B1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B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A37"/>
    <w:pPr>
      <w:tabs>
        <w:tab w:val="center" w:pos="4680"/>
        <w:tab w:val="right" w:pos="9360"/>
      </w:tabs>
    </w:pPr>
  </w:style>
  <w:style w:type="character" w:customStyle="1" w:styleId="HeaderChar">
    <w:name w:val="Header Char"/>
    <w:link w:val="Header"/>
    <w:uiPriority w:val="99"/>
    <w:rsid w:val="00B13A37"/>
    <w:rPr>
      <w:sz w:val="22"/>
    </w:rPr>
  </w:style>
  <w:style w:type="paragraph" w:styleId="Footer">
    <w:name w:val="footer"/>
    <w:basedOn w:val="Normal"/>
    <w:link w:val="FooterChar"/>
    <w:uiPriority w:val="99"/>
    <w:unhideWhenUsed/>
    <w:rsid w:val="00B13A37"/>
    <w:pPr>
      <w:tabs>
        <w:tab w:val="center" w:pos="4680"/>
        <w:tab w:val="right" w:pos="9360"/>
      </w:tabs>
    </w:pPr>
  </w:style>
  <w:style w:type="character" w:customStyle="1" w:styleId="FooterChar">
    <w:name w:val="Footer Char"/>
    <w:link w:val="Footer"/>
    <w:uiPriority w:val="99"/>
    <w:rsid w:val="00B13A3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B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A37"/>
    <w:pPr>
      <w:tabs>
        <w:tab w:val="center" w:pos="4680"/>
        <w:tab w:val="right" w:pos="9360"/>
      </w:tabs>
    </w:pPr>
  </w:style>
  <w:style w:type="character" w:customStyle="1" w:styleId="HeaderChar">
    <w:name w:val="Header Char"/>
    <w:link w:val="Header"/>
    <w:uiPriority w:val="99"/>
    <w:rsid w:val="00B13A37"/>
    <w:rPr>
      <w:sz w:val="22"/>
    </w:rPr>
  </w:style>
  <w:style w:type="paragraph" w:styleId="Footer">
    <w:name w:val="footer"/>
    <w:basedOn w:val="Normal"/>
    <w:link w:val="FooterChar"/>
    <w:uiPriority w:val="99"/>
    <w:unhideWhenUsed/>
    <w:rsid w:val="00B13A37"/>
    <w:pPr>
      <w:tabs>
        <w:tab w:val="center" w:pos="4680"/>
        <w:tab w:val="right" w:pos="9360"/>
      </w:tabs>
    </w:pPr>
  </w:style>
  <w:style w:type="character" w:customStyle="1" w:styleId="FooterChar">
    <w:name w:val="Footer Char"/>
    <w:link w:val="Footer"/>
    <w:uiPriority w:val="99"/>
    <w:rsid w:val="00B13A3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828</Words>
  <Characters>4720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HB680-SAA</vt:lpstr>
    </vt:vector>
  </TitlesOfParts>
  <Company>Texas Legislative Council</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HB680-SAA</dc:title>
  <dc:creator>CME</dc:creator>
  <cp:lastModifiedBy>WKS</cp:lastModifiedBy>
  <cp:revision>2</cp:revision>
  <dcterms:created xsi:type="dcterms:W3CDTF">2013-05-23T16:43:00Z</dcterms:created>
  <dcterms:modified xsi:type="dcterms:W3CDTF">2013-05-23T16:43:00Z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