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1743D" w:rsidTr="0061743D">
        <w:trPr>
          <w:cantSplit/>
          <w:tblHeader/>
        </w:trPr>
        <w:tc>
          <w:tcPr>
            <w:tcW w:w="18713" w:type="dxa"/>
            <w:gridSpan w:val="3"/>
          </w:tcPr>
          <w:p w:rsidR="0044200F" w:rsidRDefault="003462DA">
            <w:pPr>
              <w:ind w:left="650"/>
              <w:jc w:val="center"/>
            </w:pPr>
            <w:bookmarkStart w:id="0" w:name="_GoBack"/>
            <w:bookmarkEnd w:id="0"/>
            <w:r>
              <w:rPr>
                <w:b/>
              </w:rPr>
              <w:t>House Bill  944</w:t>
            </w:r>
          </w:p>
          <w:p w:rsidR="0044200F" w:rsidRDefault="003462DA">
            <w:pPr>
              <w:ind w:left="650"/>
              <w:jc w:val="center"/>
            </w:pPr>
            <w:r>
              <w:t>Senate Amendments</w:t>
            </w:r>
          </w:p>
          <w:p w:rsidR="0044200F" w:rsidRDefault="003462DA">
            <w:pPr>
              <w:ind w:left="650"/>
              <w:jc w:val="center"/>
            </w:pPr>
            <w:r>
              <w:t>Section-by-Section Analysis</w:t>
            </w:r>
          </w:p>
          <w:p w:rsidR="0044200F" w:rsidRDefault="0044200F">
            <w:pPr>
              <w:jc w:val="center"/>
            </w:pPr>
          </w:p>
        </w:tc>
      </w:tr>
      <w:tr w:rsidR="0044200F">
        <w:trPr>
          <w:cantSplit/>
          <w:tblHeader/>
        </w:trPr>
        <w:tc>
          <w:tcPr>
            <w:tcW w:w="1667" w:type="pct"/>
            <w:tcMar>
              <w:bottom w:w="188" w:type="dxa"/>
              <w:right w:w="0" w:type="dxa"/>
            </w:tcMar>
          </w:tcPr>
          <w:p w:rsidR="0044200F" w:rsidRDefault="003462DA">
            <w:pPr>
              <w:jc w:val="center"/>
            </w:pPr>
            <w:r>
              <w:t>HOUSE VERSION</w:t>
            </w:r>
          </w:p>
        </w:tc>
        <w:tc>
          <w:tcPr>
            <w:tcW w:w="1667" w:type="pct"/>
            <w:tcMar>
              <w:bottom w:w="188" w:type="dxa"/>
              <w:right w:w="0" w:type="dxa"/>
            </w:tcMar>
          </w:tcPr>
          <w:p w:rsidR="0044200F" w:rsidRDefault="003462DA">
            <w:pPr>
              <w:jc w:val="center"/>
            </w:pPr>
            <w:r>
              <w:t>SENATE VERSION (CS)</w:t>
            </w:r>
          </w:p>
        </w:tc>
        <w:tc>
          <w:tcPr>
            <w:tcW w:w="1667" w:type="pct"/>
            <w:tcMar>
              <w:bottom w:w="188" w:type="dxa"/>
              <w:right w:w="0" w:type="dxa"/>
            </w:tcMar>
          </w:tcPr>
          <w:p w:rsidR="0044200F" w:rsidRDefault="003462DA">
            <w:pPr>
              <w:jc w:val="center"/>
            </w:pPr>
            <w:r>
              <w:t>CONFERENCE</w:t>
            </w:r>
          </w:p>
        </w:tc>
      </w:tr>
      <w:tr w:rsidR="0044200F">
        <w:tc>
          <w:tcPr>
            <w:tcW w:w="6473" w:type="dxa"/>
          </w:tcPr>
          <w:p w:rsidR="0044200F" w:rsidRDefault="003462DA">
            <w:pPr>
              <w:jc w:val="both"/>
            </w:pPr>
            <w:r>
              <w:t>SECTION 1.  Subchapter C,  Chapter 1201, Occupations Code, is amended by adding Section 1201.1025 to read as follows:</w:t>
            </w:r>
          </w:p>
          <w:p w:rsidR="0044200F" w:rsidRDefault="003462DA">
            <w:pPr>
              <w:jc w:val="both"/>
            </w:pPr>
            <w:r>
              <w:rPr>
                <w:u w:val="single"/>
              </w:rPr>
              <w:t xml:space="preserve">Sec. 1201.1025.  EXEMPTION FROM RETAILER'S LICENSE REQUIREMENT.  (a)  Notwithstanding any other law, in any 12-month period a person is exempt from holding a retailer's license as required by Section 1201.101(b) if during that period the person sells or offers to sell not more than </w:t>
            </w:r>
            <w:r w:rsidRPr="00AF53C2">
              <w:rPr>
                <w:highlight w:val="darkGray"/>
                <w:u w:val="single"/>
              </w:rPr>
              <w:t>five</w:t>
            </w:r>
            <w:r>
              <w:rPr>
                <w:u w:val="single"/>
              </w:rPr>
              <w:t xml:space="preserve"> manufactured homes.</w:t>
            </w:r>
          </w:p>
          <w:p w:rsidR="0044200F" w:rsidRDefault="003462DA">
            <w:pPr>
              <w:jc w:val="both"/>
            </w:pPr>
            <w:r>
              <w:rPr>
                <w:u w:val="single"/>
              </w:rPr>
              <w:t>(b)  The department by rule shall develop a form necessary for a person to establish eligibility for the exemption provided by this section.</w:t>
            </w:r>
          </w:p>
          <w:p w:rsidR="0044200F" w:rsidRDefault="003462DA">
            <w:pPr>
              <w:jc w:val="both"/>
            </w:pPr>
            <w:r>
              <w:rPr>
                <w:u w:val="single"/>
              </w:rPr>
              <w:t>(c)  A person who is eligible for an exemption under this section remains subject to the other applicable provisions of this subchapter regarding the sale of manufactured homes.</w:t>
            </w:r>
          </w:p>
          <w:p w:rsidR="0044200F" w:rsidRDefault="0044200F">
            <w:pPr>
              <w:jc w:val="both"/>
            </w:pPr>
          </w:p>
        </w:tc>
        <w:tc>
          <w:tcPr>
            <w:tcW w:w="6480" w:type="dxa"/>
          </w:tcPr>
          <w:p w:rsidR="0044200F" w:rsidRDefault="003462DA">
            <w:pPr>
              <w:jc w:val="both"/>
            </w:pPr>
            <w:r>
              <w:t>SECTION 1.  Subchapter C,  Chapter 1201, Occupations Code, is amended by adding Section 1201.1025 to read as follows:</w:t>
            </w:r>
          </w:p>
          <w:p w:rsidR="0044200F" w:rsidRDefault="003462DA">
            <w:pPr>
              <w:jc w:val="both"/>
            </w:pPr>
            <w:r>
              <w:rPr>
                <w:u w:val="single"/>
              </w:rPr>
              <w:t xml:space="preserve">Sec. 1201.1025.  EXEMPTION FROM RETAILER'S LICENSE REQUIREMENT.  (a)  Notwithstanding any other law, in any 12-month period a person is exempt from holding a retailer's license as required by Section 1201.101(b) if during that period the person sells or offers to sell not more than </w:t>
            </w:r>
            <w:r w:rsidRPr="00AF53C2">
              <w:rPr>
                <w:highlight w:val="darkGray"/>
                <w:u w:val="single"/>
              </w:rPr>
              <w:t>three</w:t>
            </w:r>
            <w:r>
              <w:rPr>
                <w:u w:val="single"/>
              </w:rPr>
              <w:t xml:space="preserve"> manufactured homes.</w:t>
            </w:r>
          </w:p>
          <w:p w:rsidR="0044200F" w:rsidRDefault="003462DA">
            <w:pPr>
              <w:jc w:val="both"/>
            </w:pPr>
            <w:r>
              <w:rPr>
                <w:u w:val="single"/>
              </w:rPr>
              <w:t>(b)  The department by rule shall develop a form necessary for a person to establish eligibility for the exemption provided by this section.</w:t>
            </w:r>
          </w:p>
          <w:p w:rsidR="0044200F" w:rsidRDefault="003462DA">
            <w:pPr>
              <w:jc w:val="both"/>
            </w:pPr>
            <w:r>
              <w:rPr>
                <w:u w:val="single"/>
              </w:rPr>
              <w:t>(c)  A person who is eligible for an exemption under this section remains subject to the other applicable provisions of this subchapter regarding the sale of manufactured homes.</w:t>
            </w:r>
          </w:p>
          <w:p w:rsidR="0044200F" w:rsidRDefault="0044200F">
            <w:pPr>
              <w:jc w:val="both"/>
            </w:pPr>
          </w:p>
        </w:tc>
        <w:tc>
          <w:tcPr>
            <w:tcW w:w="5760" w:type="dxa"/>
          </w:tcPr>
          <w:p w:rsidR="0044200F" w:rsidRDefault="0044200F">
            <w:pPr>
              <w:jc w:val="both"/>
            </w:pPr>
          </w:p>
        </w:tc>
      </w:tr>
      <w:tr w:rsidR="0044200F">
        <w:tc>
          <w:tcPr>
            <w:tcW w:w="6473" w:type="dxa"/>
          </w:tcPr>
          <w:p w:rsidR="0044200F" w:rsidRDefault="003462DA">
            <w:pPr>
              <w:jc w:val="both"/>
            </w:pPr>
            <w:r>
              <w:t>SECTION 2.  The change in law made by this Act applies only to a sale of or an offer to sell manufactured homes on or after the effective date of this Act.  A sale of or an offer to sell manufactured homes before that date is governed by the law in effect on the date of the sale, and the former law is continued in effect for that purpose.</w:t>
            </w:r>
          </w:p>
          <w:p w:rsidR="0044200F" w:rsidRDefault="0044200F">
            <w:pPr>
              <w:jc w:val="both"/>
            </w:pPr>
          </w:p>
        </w:tc>
        <w:tc>
          <w:tcPr>
            <w:tcW w:w="6480" w:type="dxa"/>
          </w:tcPr>
          <w:p w:rsidR="0044200F" w:rsidRDefault="003462DA">
            <w:pPr>
              <w:jc w:val="both"/>
            </w:pPr>
            <w:r>
              <w:t>SECTION 2. Same as House version.</w:t>
            </w:r>
          </w:p>
          <w:p w:rsidR="0044200F" w:rsidRDefault="0044200F">
            <w:pPr>
              <w:jc w:val="both"/>
            </w:pPr>
          </w:p>
          <w:p w:rsidR="0044200F" w:rsidRDefault="0044200F">
            <w:pPr>
              <w:jc w:val="both"/>
            </w:pPr>
          </w:p>
        </w:tc>
        <w:tc>
          <w:tcPr>
            <w:tcW w:w="5760" w:type="dxa"/>
          </w:tcPr>
          <w:p w:rsidR="0044200F" w:rsidRDefault="0044200F">
            <w:pPr>
              <w:jc w:val="both"/>
            </w:pPr>
          </w:p>
        </w:tc>
      </w:tr>
      <w:tr w:rsidR="0044200F">
        <w:tc>
          <w:tcPr>
            <w:tcW w:w="6473" w:type="dxa"/>
          </w:tcPr>
          <w:p w:rsidR="0044200F" w:rsidRDefault="003462DA">
            <w:pPr>
              <w:jc w:val="both"/>
            </w:pPr>
            <w:r>
              <w:t>SECTION 3.  This Act takes effect September 1, 2013.</w:t>
            </w:r>
          </w:p>
          <w:p w:rsidR="0044200F" w:rsidRDefault="0044200F">
            <w:pPr>
              <w:jc w:val="both"/>
            </w:pPr>
          </w:p>
        </w:tc>
        <w:tc>
          <w:tcPr>
            <w:tcW w:w="6480" w:type="dxa"/>
          </w:tcPr>
          <w:p w:rsidR="0044200F" w:rsidRDefault="003462DA">
            <w:pPr>
              <w:jc w:val="both"/>
            </w:pPr>
            <w:r>
              <w:t>SECTION 3. Same as House version.</w:t>
            </w:r>
          </w:p>
          <w:p w:rsidR="0044200F" w:rsidRDefault="0044200F">
            <w:pPr>
              <w:jc w:val="both"/>
            </w:pPr>
          </w:p>
          <w:p w:rsidR="0044200F" w:rsidRDefault="0044200F">
            <w:pPr>
              <w:jc w:val="both"/>
            </w:pPr>
          </w:p>
        </w:tc>
        <w:tc>
          <w:tcPr>
            <w:tcW w:w="5760" w:type="dxa"/>
          </w:tcPr>
          <w:p w:rsidR="0044200F" w:rsidRDefault="0044200F">
            <w:pPr>
              <w:jc w:val="both"/>
            </w:pPr>
          </w:p>
        </w:tc>
      </w:tr>
    </w:tbl>
    <w:p w:rsidR="00C90163" w:rsidRDefault="00C90163"/>
    <w:sectPr w:rsidR="00C90163" w:rsidSect="0044200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2" w:rsidRDefault="00AF53C2" w:rsidP="0044200F">
      <w:r>
        <w:separator/>
      </w:r>
    </w:p>
  </w:endnote>
  <w:endnote w:type="continuationSeparator" w:id="0">
    <w:p w:rsidR="00AF53C2" w:rsidRDefault="00AF53C2" w:rsidP="0044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6A" w:rsidRDefault="00FB1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F" w:rsidRDefault="00F00833">
    <w:pPr>
      <w:tabs>
        <w:tab w:val="center" w:pos="9360"/>
        <w:tab w:val="right" w:pos="18720"/>
      </w:tabs>
    </w:pPr>
    <w:fldSimple w:instr=" DOCPROPERTY  CCRF  \* MERGEFORMAT ">
      <w:r w:rsidR="00A60439">
        <w:t xml:space="preserve"> </w:t>
      </w:r>
    </w:fldSimple>
    <w:r w:rsidR="003462DA">
      <w:tab/>
    </w:r>
    <w:r w:rsidR="0044200F">
      <w:fldChar w:fldCharType="begin"/>
    </w:r>
    <w:r w:rsidR="003462DA">
      <w:instrText xml:space="preserve"> PAGE </w:instrText>
    </w:r>
    <w:r w:rsidR="0044200F">
      <w:fldChar w:fldCharType="separate"/>
    </w:r>
    <w:r w:rsidR="007E0680">
      <w:rPr>
        <w:noProof/>
      </w:rPr>
      <w:t>1</w:t>
    </w:r>
    <w:r w:rsidR="0044200F">
      <w:fldChar w:fldCharType="end"/>
    </w:r>
    <w:r w:rsidR="003462D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6A" w:rsidRDefault="00FB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2" w:rsidRDefault="00AF53C2" w:rsidP="0044200F">
      <w:r>
        <w:separator/>
      </w:r>
    </w:p>
  </w:footnote>
  <w:footnote w:type="continuationSeparator" w:id="0">
    <w:p w:rsidR="00AF53C2" w:rsidRDefault="00AF53C2" w:rsidP="0044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6A" w:rsidRDefault="00FB1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6A" w:rsidRDefault="00FB1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6A" w:rsidRDefault="00FB1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F"/>
    <w:rsid w:val="003462DA"/>
    <w:rsid w:val="0044200F"/>
    <w:rsid w:val="0061743D"/>
    <w:rsid w:val="007E0680"/>
    <w:rsid w:val="00A60439"/>
    <w:rsid w:val="00AF53C2"/>
    <w:rsid w:val="00C90163"/>
    <w:rsid w:val="00F00833"/>
    <w:rsid w:val="00FB156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6A"/>
    <w:pPr>
      <w:tabs>
        <w:tab w:val="center" w:pos="4680"/>
        <w:tab w:val="right" w:pos="9360"/>
      </w:tabs>
    </w:pPr>
  </w:style>
  <w:style w:type="character" w:customStyle="1" w:styleId="HeaderChar">
    <w:name w:val="Header Char"/>
    <w:link w:val="Header"/>
    <w:uiPriority w:val="99"/>
    <w:rsid w:val="00FB156A"/>
    <w:rPr>
      <w:sz w:val="22"/>
    </w:rPr>
  </w:style>
  <w:style w:type="paragraph" w:styleId="Footer">
    <w:name w:val="footer"/>
    <w:basedOn w:val="Normal"/>
    <w:link w:val="FooterChar"/>
    <w:uiPriority w:val="99"/>
    <w:unhideWhenUsed/>
    <w:rsid w:val="00FB156A"/>
    <w:pPr>
      <w:tabs>
        <w:tab w:val="center" w:pos="4680"/>
        <w:tab w:val="right" w:pos="9360"/>
      </w:tabs>
    </w:pPr>
  </w:style>
  <w:style w:type="character" w:customStyle="1" w:styleId="FooterChar">
    <w:name w:val="Footer Char"/>
    <w:link w:val="Footer"/>
    <w:uiPriority w:val="99"/>
    <w:rsid w:val="00FB15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6A"/>
    <w:pPr>
      <w:tabs>
        <w:tab w:val="center" w:pos="4680"/>
        <w:tab w:val="right" w:pos="9360"/>
      </w:tabs>
    </w:pPr>
  </w:style>
  <w:style w:type="character" w:customStyle="1" w:styleId="HeaderChar">
    <w:name w:val="Header Char"/>
    <w:link w:val="Header"/>
    <w:uiPriority w:val="99"/>
    <w:rsid w:val="00FB156A"/>
    <w:rPr>
      <w:sz w:val="22"/>
    </w:rPr>
  </w:style>
  <w:style w:type="paragraph" w:styleId="Footer">
    <w:name w:val="footer"/>
    <w:basedOn w:val="Normal"/>
    <w:link w:val="FooterChar"/>
    <w:uiPriority w:val="99"/>
    <w:unhideWhenUsed/>
    <w:rsid w:val="00FB156A"/>
    <w:pPr>
      <w:tabs>
        <w:tab w:val="center" w:pos="4680"/>
        <w:tab w:val="right" w:pos="9360"/>
      </w:tabs>
    </w:pPr>
  </w:style>
  <w:style w:type="character" w:customStyle="1" w:styleId="FooterChar">
    <w:name w:val="Footer Char"/>
    <w:link w:val="Footer"/>
    <w:uiPriority w:val="99"/>
    <w:rsid w:val="00FB15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HB944-SAA</vt:lpstr>
    </vt:vector>
  </TitlesOfParts>
  <Company>Texas Legislative Council</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HB944-SAA</dc:title>
  <dc:creator>YES</dc:creator>
  <cp:lastModifiedBy>YES</cp:lastModifiedBy>
  <cp:revision>2</cp:revision>
  <dcterms:created xsi:type="dcterms:W3CDTF">2013-05-15T18:22:00Z</dcterms:created>
  <dcterms:modified xsi:type="dcterms:W3CDTF">2013-05-15T18:22:00Z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