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0A0CF4" w:rsidTr="000A0CF4">
        <w:trPr>
          <w:cantSplit/>
          <w:tblHeader/>
        </w:trPr>
        <w:tc>
          <w:tcPr>
            <w:tcW w:w="18713" w:type="dxa"/>
            <w:gridSpan w:val="3"/>
          </w:tcPr>
          <w:p w:rsidR="00275FCA" w:rsidRDefault="008C2B3B">
            <w:pPr>
              <w:ind w:left="650"/>
              <w:jc w:val="center"/>
            </w:pPr>
            <w:bookmarkStart w:id="0" w:name="_GoBack"/>
            <w:bookmarkEnd w:id="0"/>
            <w:r>
              <w:rPr>
                <w:b/>
              </w:rPr>
              <w:t>House Bill  1097</w:t>
            </w:r>
          </w:p>
          <w:p w:rsidR="00275FCA" w:rsidRDefault="008C2B3B">
            <w:pPr>
              <w:ind w:left="650"/>
              <w:jc w:val="center"/>
            </w:pPr>
            <w:r>
              <w:t>Senate Amendments</w:t>
            </w:r>
          </w:p>
          <w:p w:rsidR="00275FCA" w:rsidRDefault="008C2B3B">
            <w:pPr>
              <w:ind w:left="650"/>
              <w:jc w:val="center"/>
            </w:pPr>
            <w:r>
              <w:t>Section-by-Section Analysis</w:t>
            </w:r>
          </w:p>
          <w:p w:rsidR="00275FCA" w:rsidRDefault="00275FCA">
            <w:pPr>
              <w:jc w:val="center"/>
            </w:pPr>
          </w:p>
        </w:tc>
      </w:tr>
      <w:tr w:rsidR="00275FCA">
        <w:trPr>
          <w:cantSplit/>
          <w:tblHeader/>
        </w:trPr>
        <w:tc>
          <w:tcPr>
            <w:tcW w:w="1667" w:type="pct"/>
            <w:tcMar>
              <w:bottom w:w="188" w:type="dxa"/>
              <w:right w:w="0" w:type="dxa"/>
            </w:tcMar>
          </w:tcPr>
          <w:p w:rsidR="00275FCA" w:rsidRDefault="008C2B3B">
            <w:pPr>
              <w:jc w:val="center"/>
            </w:pPr>
            <w:r>
              <w:t>HOUSE VERSION</w:t>
            </w:r>
          </w:p>
        </w:tc>
        <w:tc>
          <w:tcPr>
            <w:tcW w:w="1667" w:type="pct"/>
            <w:tcMar>
              <w:bottom w:w="188" w:type="dxa"/>
              <w:right w:w="0" w:type="dxa"/>
            </w:tcMar>
          </w:tcPr>
          <w:p w:rsidR="00275FCA" w:rsidRDefault="008C2B3B">
            <w:pPr>
              <w:jc w:val="center"/>
            </w:pPr>
            <w:r>
              <w:t>SENATE VERSION (CS)</w:t>
            </w:r>
          </w:p>
        </w:tc>
        <w:tc>
          <w:tcPr>
            <w:tcW w:w="1667" w:type="pct"/>
            <w:tcMar>
              <w:bottom w:w="188" w:type="dxa"/>
              <w:right w:w="0" w:type="dxa"/>
            </w:tcMar>
          </w:tcPr>
          <w:p w:rsidR="00275FCA" w:rsidRDefault="008C2B3B">
            <w:pPr>
              <w:jc w:val="center"/>
            </w:pPr>
            <w:r>
              <w:t>CONFERENCE</w:t>
            </w:r>
          </w:p>
        </w:tc>
      </w:tr>
      <w:tr w:rsidR="00275FCA">
        <w:tc>
          <w:tcPr>
            <w:tcW w:w="6473" w:type="dxa"/>
          </w:tcPr>
          <w:p w:rsidR="00275FCA" w:rsidRDefault="008C2B3B">
            <w:pPr>
              <w:jc w:val="both"/>
            </w:pPr>
            <w:r>
              <w:t>SECTION 1.  Section 472.022(e)(2), Transportation Code, is amended to read as follows:</w:t>
            </w:r>
          </w:p>
          <w:p w:rsidR="00275FCA" w:rsidRDefault="008C2B3B">
            <w:pPr>
              <w:jc w:val="both"/>
            </w:pPr>
            <w:r>
              <w:t>(2)  "Construction or maintenance work zone" means a portion of a highway or street:</w:t>
            </w:r>
          </w:p>
          <w:p w:rsidR="00275FCA" w:rsidRDefault="008C2B3B">
            <w:pPr>
              <w:jc w:val="both"/>
            </w:pPr>
            <w:r>
              <w:t>(A)  where highway construction or maintenance is being undertaken, other than mobile operations as defined by the Texas Manual on Uniform Traffic Control Devices; [</w:t>
            </w:r>
            <w:r>
              <w:rPr>
                <w:strike/>
              </w:rPr>
              <w:t>and</w:t>
            </w:r>
            <w:r>
              <w:t>]</w:t>
            </w:r>
          </w:p>
          <w:p w:rsidR="00275FCA" w:rsidRDefault="008C2B3B">
            <w:pPr>
              <w:jc w:val="both"/>
            </w:pPr>
            <w:r>
              <w:t xml:space="preserve">(B)  that is marked by </w:t>
            </w:r>
            <w:r>
              <w:rPr>
                <w:u w:val="single"/>
              </w:rPr>
              <w:t>at least one sign</w:t>
            </w:r>
            <w:r>
              <w:t xml:space="preserve"> [</w:t>
            </w:r>
            <w:r>
              <w:rPr>
                <w:strike/>
              </w:rPr>
              <w:t>signs</w:t>
            </w:r>
            <w:r>
              <w:t>]:</w:t>
            </w:r>
          </w:p>
          <w:p w:rsidR="00275FCA" w:rsidRDefault="008C2B3B">
            <w:pPr>
              <w:jc w:val="both"/>
            </w:pPr>
            <w:r>
              <w:t>(i)  indicating that it is a construction or maintenance work zone;</w:t>
            </w:r>
          </w:p>
          <w:p w:rsidR="00275FCA" w:rsidRDefault="008C2B3B">
            <w:pPr>
              <w:jc w:val="both"/>
            </w:pPr>
            <w:r>
              <w:t xml:space="preserve">(ii)  indicating </w:t>
            </w:r>
            <w:r>
              <w:rPr>
                <w:u w:val="single"/>
              </w:rPr>
              <w:t>the maximum lawful speed</w:t>
            </w:r>
            <w:r>
              <w:t xml:space="preserve"> [</w:t>
            </w:r>
            <w:r>
              <w:rPr>
                <w:strike/>
              </w:rPr>
              <w:t>where the zone begins and ends</w:t>
            </w:r>
            <w:r>
              <w:t>]; and</w:t>
            </w:r>
          </w:p>
          <w:p w:rsidR="00275FCA" w:rsidRDefault="008C2B3B">
            <w:pPr>
              <w:jc w:val="both"/>
            </w:pPr>
            <w:r>
              <w:t>(iii)  stating:  "Fines double when workers present</w:t>
            </w:r>
            <w:r>
              <w:rPr>
                <w:u w:val="single"/>
              </w:rPr>
              <w:t>"; and</w:t>
            </w:r>
          </w:p>
          <w:p w:rsidR="00275FCA" w:rsidRDefault="008C2B3B">
            <w:pPr>
              <w:jc w:val="both"/>
            </w:pPr>
            <w:r>
              <w:rPr>
                <w:u w:val="single"/>
              </w:rPr>
              <w:t>(C)  that is marked by signs indicating where the zone begins and ends</w:t>
            </w:r>
            <w:r>
              <w:t>.[</w:t>
            </w:r>
            <w:r>
              <w:rPr>
                <w:strike/>
              </w:rPr>
              <w:t>"</w:t>
            </w:r>
            <w:r>
              <w:t>]</w:t>
            </w:r>
          </w:p>
          <w:p w:rsidR="00275FCA" w:rsidRDefault="00275FCA">
            <w:pPr>
              <w:jc w:val="both"/>
            </w:pPr>
          </w:p>
        </w:tc>
        <w:tc>
          <w:tcPr>
            <w:tcW w:w="6480" w:type="dxa"/>
          </w:tcPr>
          <w:p w:rsidR="00275FCA" w:rsidRDefault="008C2B3B">
            <w:pPr>
              <w:jc w:val="both"/>
            </w:pPr>
            <w:r w:rsidRPr="003A3584">
              <w:rPr>
                <w:highlight w:val="darkGray"/>
              </w:rPr>
              <w:t>No equivalent provision.</w:t>
            </w:r>
          </w:p>
          <w:p w:rsidR="00275FCA" w:rsidRDefault="00275FCA">
            <w:pPr>
              <w:jc w:val="both"/>
            </w:pPr>
          </w:p>
        </w:tc>
        <w:tc>
          <w:tcPr>
            <w:tcW w:w="5760" w:type="dxa"/>
          </w:tcPr>
          <w:p w:rsidR="00275FCA" w:rsidRDefault="00275FCA">
            <w:pPr>
              <w:jc w:val="both"/>
            </w:pPr>
          </w:p>
        </w:tc>
      </w:tr>
      <w:tr w:rsidR="00275FCA">
        <w:tc>
          <w:tcPr>
            <w:tcW w:w="6473" w:type="dxa"/>
          </w:tcPr>
          <w:p w:rsidR="00275FCA" w:rsidRDefault="008C2B3B">
            <w:pPr>
              <w:jc w:val="both"/>
            </w:pPr>
            <w:r w:rsidRPr="003A3584">
              <w:rPr>
                <w:highlight w:val="darkGray"/>
              </w:rPr>
              <w:t>No equivalent provision.</w:t>
            </w:r>
          </w:p>
          <w:p w:rsidR="00275FCA" w:rsidRDefault="00275FCA">
            <w:pPr>
              <w:jc w:val="both"/>
            </w:pPr>
          </w:p>
        </w:tc>
        <w:tc>
          <w:tcPr>
            <w:tcW w:w="6480" w:type="dxa"/>
          </w:tcPr>
          <w:p w:rsidR="00275FCA" w:rsidRDefault="008C2B3B">
            <w:pPr>
              <w:jc w:val="both"/>
            </w:pPr>
            <w:r>
              <w:t>SECTION 1.  Section 542.404, Transportation Code, is amended by amending Subsection (a) and adding Subsection (c) to read as follows:</w:t>
            </w:r>
          </w:p>
          <w:p w:rsidR="00275FCA" w:rsidRDefault="008C2B3B">
            <w:pPr>
              <w:jc w:val="both"/>
            </w:pPr>
            <w:r>
              <w:t xml:space="preserve">(a)  </w:t>
            </w:r>
            <w:r>
              <w:rPr>
                <w:u w:val="single"/>
              </w:rPr>
              <w:t>Except as provided by Subsection (c), if</w:t>
            </w:r>
            <w:r>
              <w:t xml:space="preserve"> [</w:t>
            </w:r>
            <w:r>
              <w:rPr>
                <w:strike/>
              </w:rPr>
              <w:t>If</w:t>
            </w:r>
            <w:r>
              <w:t>] an offense under this subtitle, other than an offense under Chapter 548 or 552 or Section 545.412 or 545.413, is committed in a construction or maintenance work zone when workers are present and any written notice to appear issued for the offense states on its face that workers were present when the offense was committed:</w:t>
            </w:r>
          </w:p>
          <w:p w:rsidR="00275FCA" w:rsidRDefault="008C2B3B">
            <w:pPr>
              <w:jc w:val="both"/>
            </w:pPr>
            <w:r>
              <w:t>(1)  the minimum fine applicable to the offense is twice the minimum fine that would be applicable to the offense if it were committed outside a construction or maintenance work zone; and</w:t>
            </w:r>
          </w:p>
          <w:p w:rsidR="00275FCA" w:rsidRDefault="008C2B3B">
            <w:pPr>
              <w:jc w:val="both"/>
            </w:pPr>
            <w:r>
              <w:t xml:space="preserve">(2)  the maximum fine applicable to the offense is twice the </w:t>
            </w:r>
            <w:r>
              <w:lastRenderedPageBreak/>
              <w:t>maximum fine that would be applicable to the offense if it were committed outside a construction or maintenance work zone.</w:t>
            </w:r>
          </w:p>
          <w:p w:rsidR="00275FCA" w:rsidRDefault="008C2B3B">
            <w:pPr>
              <w:jc w:val="both"/>
            </w:pPr>
            <w:r>
              <w:rPr>
                <w:u w:val="single"/>
              </w:rPr>
              <w:t>(c)  The fine prescribed by Subsection (a) applies to a violation of a prima facie speed limit authorized by Subchapter H, Chapter 545, only if the construction or maintenance work zone is marked by a sign indicating the applicable maximum lawful speed.</w:t>
            </w:r>
          </w:p>
          <w:p w:rsidR="00275FCA" w:rsidRDefault="00275FCA">
            <w:pPr>
              <w:jc w:val="both"/>
            </w:pPr>
          </w:p>
        </w:tc>
        <w:tc>
          <w:tcPr>
            <w:tcW w:w="5760" w:type="dxa"/>
          </w:tcPr>
          <w:p w:rsidR="00275FCA" w:rsidRDefault="00275FCA">
            <w:pPr>
              <w:jc w:val="both"/>
            </w:pPr>
          </w:p>
        </w:tc>
      </w:tr>
      <w:tr w:rsidR="00275FCA">
        <w:tc>
          <w:tcPr>
            <w:tcW w:w="6473" w:type="dxa"/>
          </w:tcPr>
          <w:p w:rsidR="00275FCA" w:rsidRDefault="008C2B3B">
            <w:pPr>
              <w:jc w:val="both"/>
            </w:pPr>
            <w:r>
              <w:lastRenderedPageBreak/>
              <w:t>SECTION 2.  This Act takes effect September 1, 2013.</w:t>
            </w:r>
          </w:p>
          <w:p w:rsidR="00275FCA" w:rsidRDefault="00275FCA">
            <w:pPr>
              <w:jc w:val="both"/>
            </w:pPr>
          </w:p>
        </w:tc>
        <w:tc>
          <w:tcPr>
            <w:tcW w:w="6480" w:type="dxa"/>
          </w:tcPr>
          <w:p w:rsidR="00275FCA" w:rsidRDefault="008C2B3B">
            <w:pPr>
              <w:jc w:val="both"/>
            </w:pPr>
            <w:r>
              <w:t>SECTION 2. Same as House version.</w:t>
            </w:r>
          </w:p>
          <w:p w:rsidR="00275FCA" w:rsidRDefault="00275FCA">
            <w:pPr>
              <w:jc w:val="both"/>
            </w:pPr>
          </w:p>
          <w:p w:rsidR="00275FCA" w:rsidRDefault="00275FCA">
            <w:pPr>
              <w:jc w:val="both"/>
            </w:pPr>
          </w:p>
        </w:tc>
        <w:tc>
          <w:tcPr>
            <w:tcW w:w="5760" w:type="dxa"/>
          </w:tcPr>
          <w:p w:rsidR="00275FCA" w:rsidRDefault="00275FCA">
            <w:pPr>
              <w:jc w:val="both"/>
            </w:pPr>
          </w:p>
        </w:tc>
      </w:tr>
    </w:tbl>
    <w:p w:rsidR="004A609B" w:rsidRDefault="004A609B"/>
    <w:sectPr w:rsidR="004A609B" w:rsidSect="00275FCA">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84" w:rsidRDefault="003A3584" w:rsidP="00275FCA">
      <w:r>
        <w:separator/>
      </w:r>
    </w:p>
  </w:endnote>
  <w:endnote w:type="continuationSeparator" w:id="0">
    <w:p w:rsidR="003A3584" w:rsidRDefault="003A3584" w:rsidP="0027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FF" w:rsidRDefault="00001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CA" w:rsidRDefault="00A91741">
    <w:pPr>
      <w:tabs>
        <w:tab w:val="center" w:pos="9360"/>
        <w:tab w:val="right" w:pos="18720"/>
      </w:tabs>
    </w:pPr>
    <w:fldSimple w:instr=" DOCPROPERTY  CCRF  \* MERGEFORMAT ">
      <w:r w:rsidR="00A71746">
        <w:t xml:space="preserve"> </w:t>
      </w:r>
    </w:fldSimple>
    <w:r w:rsidR="008C2B3B">
      <w:tab/>
    </w:r>
    <w:r w:rsidR="00275FCA">
      <w:fldChar w:fldCharType="begin"/>
    </w:r>
    <w:r w:rsidR="008C2B3B">
      <w:instrText xml:space="preserve"> PAGE </w:instrText>
    </w:r>
    <w:r w:rsidR="00275FCA">
      <w:fldChar w:fldCharType="separate"/>
    </w:r>
    <w:r w:rsidR="00F80E50">
      <w:rPr>
        <w:noProof/>
      </w:rPr>
      <w:t>1</w:t>
    </w:r>
    <w:r w:rsidR="00275FCA">
      <w:fldChar w:fldCharType="end"/>
    </w:r>
    <w:r w:rsidR="008C2B3B">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FF" w:rsidRDefault="00001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84" w:rsidRDefault="003A3584" w:rsidP="00275FCA">
      <w:r>
        <w:separator/>
      </w:r>
    </w:p>
  </w:footnote>
  <w:footnote w:type="continuationSeparator" w:id="0">
    <w:p w:rsidR="003A3584" w:rsidRDefault="003A3584" w:rsidP="0027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FF" w:rsidRDefault="00001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FF" w:rsidRDefault="00001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FF" w:rsidRDefault="00001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CA"/>
    <w:rsid w:val="000015FF"/>
    <w:rsid w:val="000A0CF4"/>
    <w:rsid w:val="00275FCA"/>
    <w:rsid w:val="003A3584"/>
    <w:rsid w:val="004A609B"/>
    <w:rsid w:val="008C2B3B"/>
    <w:rsid w:val="00A71746"/>
    <w:rsid w:val="00A91741"/>
    <w:rsid w:val="00EA29D9"/>
    <w:rsid w:val="00F80E5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C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FF"/>
    <w:pPr>
      <w:tabs>
        <w:tab w:val="center" w:pos="4680"/>
        <w:tab w:val="right" w:pos="9360"/>
      </w:tabs>
    </w:pPr>
  </w:style>
  <w:style w:type="character" w:customStyle="1" w:styleId="HeaderChar">
    <w:name w:val="Header Char"/>
    <w:link w:val="Header"/>
    <w:uiPriority w:val="99"/>
    <w:rsid w:val="000015FF"/>
    <w:rPr>
      <w:sz w:val="22"/>
    </w:rPr>
  </w:style>
  <w:style w:type="paragraph" w:styleId="Footer">
    <w:name w:val="footer"/>
    <w:basedOn w:val="Normal"/>
    <w:link w:val="FooterChar"/>
    <w:uiPriority w:val="99"/>
    <w:unhideWhenUsed/>
    <w:rsid w:val="000015FF"/>
    <w:pPr>
      <w:tabs>
        <w:tab w:val="center" w:pos="4680"/>
        <w:tab w:val="right" w:pos="9360"/>
      </w:tabs>
    </w:pPr>
  </w:style>
  <w:style w:type="character" w:customStyle="1" w:styleId="FooterChar">
    <w:name w:val="Footer Char"/>
    <w:link w:val="Footer"/>
    <w:uiPriority w:val="99"/>
    <w:rsid w:val="000015F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C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FF"/>
    <w:pPr>
      <w:tabs>
        <w:tab w:val="center" w:pos="4680"/>
        <w:tab w:val="right" w:pos="9360"/>
      </w:tabs>
    </w:pPr>
  </w:style>
  <w:style w:type="character" w:customStyle="1" w:styleId="HeaderChar">
    <w:name w:val="Header Char"/>
    <w:link w:val="Header"/>
    <w:uiPriority w:val="99"/>
    <w:rsid w:val="000015FF"/>
    <w:rPr>
      <w:sz w:val="22"/>
    </w:rPr>
  </w:style>
  <w:style w:type="paragraph" w:styleId="Footer">
    <w:name w:val="footer"/>
    <w:basedOn w:val="Normal"/>
    <w:link w:val="FooterChar"/>
    <w:uiPriority w:val="99"/>
    <w:unhideWhenUsed/>
    <w:rsid w:val="000015FF"/>
    <w:pPr>
      <w:tabs>
        <w:tab w:val="center" w:pos="4680"/>
        <w:tab w:val="right" w:pos="9360"/>
      </w:tabs>
    </w:pPr>
  </w:style>
  <w:style w:type="character" w:customStyle="1" w:styleId="FooterChar">
    <w:name w:val="Footer Char"/>
    <w:link w:val="Footer"/>
    <w:uiPriority w:val="99"/>
    <w:rsid w:val="000015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308</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HB1097-SAA</vt:lpstr>
    </vt:vector>
  </TitlesOfParts>
  <Company>Texas Legislative Council</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HB1097-SAA</dc:title>
  <dc:creator>YES</dc:creator>
  <cp:lastModifiedBy>YES</cp:lastModifiedBy>
  <cp:revision>2</cp:revision>
  <dcterms:created xsi:type="dcterms:W3CDTF">2013-05-21T00:20:00Z</dcterms:created>
  <dcterms:modified xsi:type="dcterms:W3CDTF">2013-05-21T00:20:00Z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