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B7F36" w:rsidTr="00FB7F36">
        <w:trPr>
          <w:cantSplit/>
          <w:tblHeader/>
        </w:trPr>
        <w:tc>
          <w:tcPr>
            <w:tcW w:w="18713" w:type="dxa"/>
            <w:gridSpan w:val="3"/>
          </w:tcPr>
          <w:p w:rsidR="00805AC3" w:rsidRDefault="00DB2444">
            <w:pPr>
              <w:ind w:left="650"/>
              <w:jc w:val="center"/>
            </w:pPr>
            <w:bookmarkStart w:id="0" w:name="_GoBack"/>
            <w:bookmarkEnd w:id="0"/>
            <w:r>
              <w:rPr>
                <w:b/>
              </w:rPr>
              <w:t>House Bill  2825</w:t>
            </w:r>
          </w:p>
          <w:p w:rsidR="00805AC3" w:rsidRDefault="00DB2444">
            <w:pPr>
              <w:ind w:left="650"/>
              <w:jc w:val="center"/>
            </w:pPr>
            <w:r>
              <w:t>Senate Amendments</w:t>
            </w:r>
          </w:p>
          <w:p w:rsidR="00805AC3" w:rsidRDefault="00DB2444">
            <w:pPr>
              <w:ind w:left="650"/>
              <w:jc w:val="center"/>
            </w:pPr>
            <w:r>
              <w:t>Section-by-Section Analysis</w:t>
            </w:r>
          </w:p>
          <w:p w:rsidR="00805AC3" w:rsidRDefault="00805AC3">
            <w:pPr>
              <w:jc w:val="center"/>
            </w:pPr>
          </w:p>
        </w:tc>
      </w:tr>
      <w:tr w:rsidR="00805AC3">
        <w:trPr>
          <w:cantSplit/>
          <w:tblHeader/>
        </w:trPr>
        <w:tc>
          <w:tcPr>
            <w:tcW w:w="1667" w:type="pct"/>
            <w:tcMar>
              <w:bottom w:w="188" w:type="dxa"/>
              <w:right w:w="0" w:type="dxa"/>
            </w:tcMar>
          </w:tcPr>
          <w:p w:rsidR="00805AC3" w:rsidRDefault="00DB2444">
            <w:pPr>
              <w:jc w:val="center"/>
            </w:pPr>
            <w:r>
              <w:t>HOUSE VERSION</w:t>
            </w:r>
          </w:p>
        </w:tc>
        <w:tc>
          <w:tcPr>
            <w:tcW w:w="1667" w:type="pct"/>
            <w:tcMar>
              <w:bottom w:w="188" w:type="dxa"/>
              <w:right w:w="0" w:type="dxa"/>
            </w:tcMar>
          </w:tcPr>
          <w:p w:rsidR="00805AC3" w:rsidRDefault="00DB2444">
            <w:pPr>
              <w:jc w:val="center"/>
            </w:pPr>
            <w:r>
              <w:t>SENATE VERSION (CS)</w:t>
            </w:r>
          </w:p>
        </w:tc>
        <w:tc>
          <w:tcPr>
            <w:tcW w:w="1667" w:type="pct"/>
            <w:tcMar>
              <w:bottom w:w="188" w:type="dxa"/>
              <w:right w:w="0" w:type="dxa"/>
            </w:tcMar>
          </w:tcPr>
          <w:p w:rsidR="00805AC3" w:rsidRDefault="00DB2444">
            <w:pPr>
              <w:jc w:val="center"/>
            </w:pPr>
            <w:r>
              <w:t>CONFERENCE</w:t>
            </w:r>
          </w:p>
        </w:tc>
      </w:tr>
      <w:tr w:rsidR="00805AC3">
        <w:tc>
          <w:tcPr>
            <w:tcW w:w="6473" w:type="dxa"/>
          </w:tcPr>
          <w:p w:rsidR="00805AC3" w:rsidRDefault="00DB2444">
            <w:pPr>
              <w:jc w:val="both"/>
            </w:pPr>
            <w:r>
              <w:t>SECTION 1.  Article 62.0045, Code of Criminal Procedure, is amended to read as follows:</w:t>
            </w:r>
          </w:p>
          <w:p w:rsidR="00805AC3" w:rsidRDefault="00DB2444">
            <w:pPr>
              <w:jc w:val="both"/>
            </w:pPr>
            <w:r>
              <w:t xml:space="preserve">Art. 62.0045.  CENTRALIZED REGISTRATION AUTHORITY.  (a)  The commissioners court </w:t>
            </w:r>
            <w:r>
              <w:rPr>
                <w:u w:val="single"/>
              </w:rPr>
              <w:t>of</w:t>
            </w:r>
            <w:r>
              <w:t xml:space="preserve"> [</w:t>
            </w:r>
            <w:r>
              <w:rPr>
                <w:strike/>
              </w:rPr>
              <w:t>in</w:t>
            </w:r>
            <w:r>
              <w:t>] a county [</w:t>
            </w:r>
            <w:r>
              <w:rPr>
                <w:strike/>
              </w:rPr>
              <w:t>with a population of 100,000 or more</w:t>
            </w:r>
            <w:r>
              <w:t>] may designate the office of the sheriff of the county or may, through interlocal agreement, designate the office of a chief of police of a municipality in that county to serve as a mandatory countywide registration location for persons subject to this chapter.</w:t>
            </w:r>
          </w:p>
          <w:p w:rsidR="00805AC3" w:rsidRDefault="00DB2444">
            <w:pPr>
              <w:jc w:val="both"/>
            </w:pPr>
            <w:r>
              <w:t>(b)  Notwithstanding any other provision of this chapter, a person [</w:t>
            </w:r>
            <w:r>
              <w:rPr>
                <w:strike/>
              </w:rPr>
              <w:t>who is</w:t>
            </w:r>
            <w:r>
              <w:t xml:space="preserve">] subject to this chapter </w:t>
            </w:r>
            <w:r>
              <w:rPr>
                <w:u w:val="single"/>
              </w:rPr>
              <w:t>is required to perform the registration and verification requirements of Articles</w:t>
            </w:r>
            <w:r>
              <w:t xml:space="preserve"> [</w:t>
            </w:r>
            <w:r>
              <w:rPr>
                <w:strike/>
              </w:rPr>
              <w:t>shall register under Article</w:t>
            </w:r>
            <w:r>
              <w:t xml:space="preserve">] 62.051 </w:t>
            </w:r>
            <w:r>
              <w:rPr>
                <w:u w:val="single"/>
              </w:rPr>
              <w:t>and</w:t>
            </w:r>
            <w:r>
              <w:t xml:space="preserve"> [</w:t>
            </w:r>
            <w:r>
              <w:rPr>
                <w:strike/>
              </w:rPr>
              <w:t>or verify registration under Article</w:t>
            </w:r>
            <w:r>
              <w:t xml:space="preserve">] 62.058 </w:t>
            </w:r>
            <w:r>
              <w:rPr>
                <w:u w:val="single"/>
              </w:rPr>
              <w:t>and the change of address requirements of Article 62.055</w:t>
            </w:r>
            <w:r>
              <w:t xml:space="preserve"> only with </w:t>
            </w:r>
            <w:r>
              <w:rPr>
                <w:u w:val="single"/>
              </w:rPr>
              <w:t>respect to</w:t>
            </w:r>
            <w:r>
              <w:t xml:space="preserve"> the centralized registration authority for the county, regardless of whether the person resides in any municipality located in that county.  If the person resides in a municipality, and the local law enforcement authority in the municipality does not serve as the person's centralized registration authority, the centralized registration authority, not later than the third day after the date the person registers or verifies registration </w:t>
            </w:r>
            <w:r>
              <w:rPr>
                <w:u w:val="single"/>
              </w:rPr>
              <w:t>or changes address</w:t>
            </w:r>
            <w:r>
              <w:t xml:space="preserve"> with that authority, shall provide to the local law enforcement authority in that municipality notice of the person's registration</w:t>
            </w:r>
            <w:r>
              <w:rPr>
                <w:u w:val="single"/>
              </w:rPr>
              <w:t>,</w:t>
            </w:r>
            <w:r>
              <w:t xml:space="preserve"> [</w:t>
            </w:r>
            <w:r>
              <w:rPr>
                <w:strike/>
              </w:rPr>
              <w:t>or</w:t>
            </w:r>
            <w:r>
              <w:t xml:space="preserve">] verification of registration, </w:t>
            </w:r>
            <w:r>
              <w:rPr>
                <w:u w:val="single"/>
              </w:rPr>
              <w:t>or change of address,</w:t>
            </w:r>
            <w:r>
              <w:t xml:space="preserve"> as applicable, with the centralized registration authority.</w:t>
            </w:r>
          </w:p>
          <w:p w:rsidR="00805AC3" w:rsidRDefault="00DB2444">
            <w:pPr>
              <w:jc w:val="both"/>
            </w:pPr>
            <w:r>
              <w:rPr>
                <w:u w:val="single"/>
              </w:rPr>
              <w:t>(c)  This section does not affect a person's duty to register with secondary sex offender registries under this chapter, such as those described by Articles 62.059 and 62.153.</w:t>
            </w:r>
          </w:p>
          <w:p w:rsidR="00805AC3" w:rsidRDefault="00805AC3">
            <w:pPr>
              <w:jc w:val="both"/>
            </w:pPr>
          </w:p>
        </w:tc>
        <w:tc>
          <w:tcPr>
            <w:tcW w:w="6480" w:type="dxa"/>
          </w:tcPr>
          <w:p w:rsidR="00805AC3" w:rsidRDefault="00DB2444">
            <w:pPr>
              <w:jc w:val="both"/>
            </w:pPr>
            <w:r>
              <w:t>SECTION 1. Same as House version.</w:t>
            </w:r>
          </w:p>
          <w:p w:rsidR="00805AC3" w:rsidRDefault="00805AC3">
            <w:pPr>
              <w:jc w:val="both"/>
            </w:pPr>
          </w:p>
          <w:p w:rsidR="00805AC3" w:rsidRDefault="00805AC3">
            <w:pPr>
              <w:jc w:val="both"/>
            </w:pPr>
          </w:p>
        </w:tc>
        <w:tc>
          <w:tcPr>
            <w:tcW w:w="5760" w:type="dxa"/>
          </w:tcPr>
          <w:p w:rsidR="00805AC3" w:rsidRDefault="00805AC3">
            <w:pPr>
              <w:jc w:val="both"/>
            </w:pPr>
          </w:p>
        </w:tc>
      </w:tr>
      <w:tr w:rsidR="00805AC3">
        <w:tc>
          <w:tcPr>
            <w:tcW w:w="6473" w:type="dxa"/>
          </w:tcPr>
          <w:p w:rsidR="00805AC3" w:rsidRDefault="00DB2444">
            <w:pPr>
              <w:jc w:val="both"/>
            </w:pPr>
            <w:r>
              <w:lastRenderedPageBreak/>
              <w:t xml:space="preserve">SECTION 2.  </w:t>
            </w:r>
            <w:r w:rsidRPr="00BA5CCE">
              <w:t>This Act takes effect September 1, 2013</w:t>
            </w:r>
            <w:r>
              <w:t>.</w:t>
            </w:r>
          </w:p>
          <w:p w:rsidR="00805AC3" w:rsidRDefault="00805AC3">
            <w:pPr>
              <w:jc w:val="both"/>
            </w:pPr>
          </w:p>
        </w:tc>
        <w:tc>
          <w:tcPr>
            <w:tcW w:w="6480" w:type="dxa"/>
          </w:tcPr>
          <w:p w:rsidR="00805AC3" w:rsidRDefault="00DB2444">
            <w:pPr>
              <w:jc w:val="both"/>
            </w:pPr>
            <w:r>
              <w:t xml:space="preserve">SECTION 2.  </w:t>
            </w:r>
            <w:r w:rsidRPr="00942FE0">
              <w:rPr>
                <w:highlight w:val="darkGray"/>
              </w:rPr>
              <w:t>This Act takes effect immediately if it receives a vote of two-thirds of all the members elected to each house, as provided by Section 39, Article III, Texas Constitution.  If this Act does not receive the vote necessary for immediate effect,</w:t>
            </w:r>
            <w:r w:rsidRPr="00BA5CCE">
              <w:t xml:space="preserve"> this Act takes effect September 1, 2013</w:t>
            </w:r>
            <w:r>
              <w:t>.</w:t>
            </w:r>
          </w:p>
          <w:p w:rsidR="00805AC3" w:rsidRDefault="00805AC3">
            <w:pPr>
              <w:jc w:val="both"/>
            </w:pPr>
          </w:p>
        </w:tc>
        <w:tc>
          <w:tcPr>
            <w:tcW w:w="5760" w:type="dxa"/>
          </w:tcPr>
          <w:p w:rsidR="00805AC3" w:rsidRDefault="00805AC3">
            <w:pPr>
              <w:jc w:val="both"/>
            </w:pPr>
          </w:p>
        </w:tc>
      </w:tr>
    </w:tbl>
    <w:p w:rsidR="001376D3" w:rsidRDefault="001376D3"/>
    <w:sectPr w:rsidR="001376D3" w:rsidSect="00805AC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FE0" w:rsidRDefault="00942FE0" w:rsidP="00805AC3">
      <w:r>
        <w:separator/>
      </w:r>
    </w:p>
  </w:endnote>
  <w:endnote w:type="continuationSeparator" w:id="0">
    <w:p w:rsidR="00942FE0" w:rsidRDefault="00942FE0" w:rsidP="0080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EC" w:rsidRDefault="00E04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C3" w:rsidRDefault="00A5700A">
    <w:pPr>
      <w:tabs>
        <w:tab w:val="center" w:pos="9360"/>
        <w:tab w:val="right" w:pos="18720"/>
      </w:tabs>
    </w:pPr>
    <w:fldSimple w:instr=" DOCPROPERTY  CCRF  \* MERGEFORMAT ">
      <w:r w:rsidR="00B50053">
        <w:t xml:space="preserve"> </w:t>
      </w:r>
    </w:fldSimple>
    <w:r w:rsidR="00DB2444">
      <w:tab/>
    </w:r>
    <w:r w:rsidR="00805AC3">
      <w:fldChar w:fldCharType="begin"/>
    </w:r>
    <w:r w:rsidR="00DB2444">
      <w:instrText xml:space="preserve"> PAGE </w:instrText>
    </w:r>
    <w:r w:rsidR="00805AC3">
      <w:fldChar w:fldCharType="separate"/>
    </w:r>
    <w:r w:rsidR="007A5F25">
      <w:rPr>
        <w:noProof/>
      </w:rPr>
      <w:t>1</w:t>
    </w:r>
    <w:r w:rsidR="00805AC3">
      <w:fldChar w:fldCharType="end"/>
    </w:r>
    <w:r w:rsidR="00DB2444">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EC" w:rsidRDefault="00E04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FE0" w:rsidRDefault="00942FE0" w:rsidP="00805AC3">
      <w:r>
        <w:separator/>
      </w:r>
    </w:p>
  </w:footnote>
  <w:footnote w:type="continuationSeparator" w:id="0">
    <w:p w:rsidR="00942FE0" w:rsidRDefault="00942FE0" w:rsidP="00805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EC" w:rsidRDefault="00E04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EC" w:rsidRDefault="00E04C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EC" w:rsidRDefault="00E04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C3"/>
    <w:rsid w:val="001376D3"/>
    <w:rsid w:val="007A5F25"/>
    <w:rsid w:val="00805AC3"/>
    <w:rsid w:val="00942FE0"/>
    <w:rsid w:val="00A5700A"/>
    <w:rsid w:val="00B50053"/>
    <w:rsid w:val="00BA5CCE"/>
    <w:rsid w:val="00DB2444"/>
    <w:rsid w:val="00E04CEC"/>
    <w:rsid w:val="00FB7F3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C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CEC"/>
    <w:pPr>
      <w:tabs>
        <w:tab w:val="center" w:pos="4680"/>
        <w:tab w:val="right" w:pos="9360"/>
      </w:tabs>
    </w:pPr>
  </w:style>
  <w:style w:type="character" w:customStyle="1" w:styleId="HeaderChar">
    <w:name w:val="Header Char"/>
    <w:link w:val="Header"/>
    <w:uiPriority w:val="99"/>
    <w:rsid w:val="00E04CEC"/>
    <w:rPr>
      <w:sz w:val="22"/>
    </w:rPr>
  </w:style>
  <w:style w:type="paragraph" w:styleId="Footer">
    <w:name w:val="footer"/>
    <w:basedOn w:val="Normal"/>
    <w:link w:val="FooterChar"/>
    <w:uiPriority w:val="99"/>
    <w:unhideWhenUsed/>
    <w:rsid w:val="00E04CEC"/>
    <w:pPr>
      <w:tabs>
        <w:tab w:val="center" w:pos="4680"/>
        <w:tab w:val="right" w:pos="9360"/>
      </w:tabs>
    </w:pPr>
  </w:style>
  <w:style w:type="character" w:customStyle="1" w:styleId="FooterChar">
    <w:name w:val="Footer Char"/>
    <w:link w:val="Footer"/>
    <w:uiPriority w:val="99"/>
    <w:rsid w:val="00E04CE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C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CEC"/>
    <w:pPr>
      <w:tabs>
        <w:tab w:val="center" w:pos="4680"/>
        <w:tab w:val="right" w:pos="9360"/>
      </w:tabs>
    </w:pPr>
  </w:style>
  <w:style w:type="character" w:customStyle="1" w:styleId="HeaderChar">
    <w:name w:val="Header Char"/>
    <w:link w:val="Header"/>
    <w:uiPriority w:val="99"/>
    <w:rsid w:val="00E04CEC"/>
    <w:rPr>
      <w:sz w:val="22"/>
    </w:rPr>
  </w:style>
  <w:style w:type="paragraph" w:styleId="Footer">
    <w:name w:val="footer"/>
    <w:basedOn w:val="Normal"/>
    <w:link w:val="FooterChar"/>
    <w:uiPriority w:val="99"/>
    <w:unhideWhenUsed/>
    <w:rsid w:val="00E04CEC"/>
    <w:pPr>
      <w:tabs>
        <w:tab w:val="center" w:pos="4680"/>
        <w:tab w:val="right" w:pos="9360"/>
      </w:tabs>
    </w:pPr>
  </w:style>
  <w:style w:type="character" w:customStyle="1" w:styleId="FooterChar">
    <w:name w:val="Footer Char"/>
    <w:link w:val="Footer"/>
    <w:uiPriority w:val="99"/>
    <w:rsid w:val="00E04C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331</Words>
  <Characters>1890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HB2825-SAA</vt:lpstr>
    </vt:vector>
  </TitlesOfParts>
  <Company>Texas Legislative Council</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HB2825-SAA</dc:title>
  <dc:creator>CME</dc:creator>
  <cp:lastModifiedBy>JXW</cp:lastModifiedBy>
  <cp:revision>2</cp:revision>
  <dcterms:created xsi:type="dcterms:W3CDTF">2013-05-23T18:15:00Z</dcterms:created>
  <dcterms:modified xsi:type="dcterms:W3CDTF">2013-05-23T18:15:00Z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