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A06EA" w:rsidTr="003A06EA">
        <w:trPr>
          <w:cantSplit/>
          <w:tblHeader/>
        </w:trPr>
        <w:tc>
          <w:tcPr>
            <w:tcW w:w="18713" w:type="dxa"/>
            <w:gridSpan w:val="3"/>
          </w:tcPr>
          <w:p w:rsidR="00DD10DD" w:rsidRDefault="00FC7DC7">
            <w:pPr>
              <w:ind w:left="650"/>
              <w:jc w:val="center"/>
            </w:pPr>
            <w:bookmarkStart w:id="0" w:name="_GoBack"/>
            <w:bookmarkEnd w:id="0"/>
            <w:r>
              <w:rPr>
                <w:b/>
              </w:rPr>
              <w:t>House Bill  2935</w:t>
            </w:r>
          </w:p>
          <w:p w:rsidR="00DD10DD" w:rsidRDefault="00FC7DC7">
            <w:pPr>
              <w:ind w:left="650"/>
              <w:jc w:val="center"/>
            </w:pPr>
            <w:r>
              <w:t>Senate Amendments</w:t>
            </w:r>
          </w:p>
          <w:p w:rsidR="00DD10DD" w:rsidRDefault="00FC7DC7">
            <w:pPr>
              <w:ind w:left="650"/>
              <w:jc w:val="center"/>
            </w:pPr>
            <w:r>
              <w:t>Section-by-Section Analysis</w:t>
            </w:r>
          </w:p>
          <w:p w:rsidR="00DD10DD" w:rsidRDefault="00DD10DD">
            <w:pPr>
              <w:jc w:val="center"/>
            </w:pPr>
          </w:p>
        </w:tc>
      </w:tr>
      <w:tr w:rsidR="00DD10DD">
        <w:trPr>
          <w:cantSplit/>
          <w:tblHeader/>
        </w:trPr>
        <w:tc>
          <w:tcPr>
            <w:tcW w:w="1667" w:type="pct"/>
            <w:tcMar>
              <w:bottom w:w="188" w:type="dxa"/>
              <w:right w:w="0" w:type="dxa"/>
            </w:tcMar>
          </w:tcPr>
          <w:p w:rsidR="00DD10DD" w:rsidRDefault="00FC7DC7">
            <w:pPr>
              <w:jc w:val="center"/>
            </w:pPr>
            <w:r>
              <w:t>HOUSE VERSION</w:t>
            </w:r>
          </w:p>
        </w:tc>
        <w:tc>
          <w:tcPr>
            <w:tcW w:w="1667" w:type="pct"/>
            <w:tcMar>
              <w:bottom w:w="188" w:type="dxa"/>
              <w:right w:w="0" w:type="dxa"/>
            </w:tcMar>
          </w:tcPr>
          <w:p w:rsidR="00DD10DD" w:rsidRDefault="00FC7DC7">
            <w:pPr>
              <w:jc w:val="center"/>
            </w:pPr>
            <w:r>
              <w:t>SENATE VERSION (IE)</w:t>
            </w:r>
          </w:p>
        </w:tc>
        <w:tc>
          <w:tcPr>
            <w:tcW w:w="1667" w:type="pct"/>
            <w:tcMar>
              <w:bottom w:w="188" w:type="dxa"/>
              <w:right w:w="0" w:type="dxa"/>
            </w:tcMar>
          </w:tcPr>
          <w:p w:rsidR="00DD10DD" w:rsidRDefault="00FC7DC7">
            <w:pPr>
              <w:jc w:val="center"/>
            </w:pPr>
            <w:r>
              <w:t>CONFERENCE</w:t>
            </w:r>
          </w:p>
        </w:tc>
      </w:tr>
      <w:tr w:rsidR="00DD10DD">
        <w:tc>
          <w:tcPr>
            <w:tcW w:w="6473" w:type="dxa"/>
          </w:tcPr>
          <w:p w:rsidR="00DD10DD" w:rsidRPr="00E71675" w:rsidRDefault="00FC7DC7">
            <w:pPr>
              <w:jc w:val="both"/>
              <w:rPr>
                <w:highlight w:val="darkGray"/>
              </w:rPr>
            </w:pPr>
            <w:r w:rsidRPr="00E71675">
              <w:rPr>
                <w:highlight w:val="darkGray"/>
              </w:rPr>
              <w:t>No equivalent provision.</w:t>
            </w:r>
          </w:p>
          <w:p w:rsidR="00DD10DD" w:rsidRPr="00E71675" w:rsidRDefault="00DD10DD">
            <w:pPr>
              <w:jc w:val="both"/>
              <w:rPr>
                <w:highlight w:val="darkGray"/>
              </w:rPr>
            </w:pPr>
          </w:p>
        </w:tc>
        <w:tc>
          <w:tcPr>
            <w:tcW w:w="6480" w:type="dxa"/>
          </w:tcPr>
          <w:p w:rsidR="00DD10DD" w:rsidRDefault="00FC7DC7">
            <w:pPr>
              <w:jc w:val="both"/>
            </w:pPr>
            <w:r>
              <w:t>SECTION __.  Section 27.004, Civil Practice and Remedies Code, is amended to read as follows:</w:t>
            </w:r>
          </w:p>
          <w:p w:rsidR="00DD10DD" w:rsidRDefault="00FC7DC7">
            <w:pPr>
              <w:jc w:val="both"/>
            </w:pPr>
            <w:r>
              <w:t xml:space="preserve">Sec. 27.004.  HEARING.  </w:t>
            </w:r>
            <w:r>
              <w:rPr>
                <w:u w:val="single"/>
              </w:rPr>
              <w:t>(a)</w:t>
            </w:r>
            <w:r>
              <w:t xml:space="preserve">  A hearing on a motion under Section 27.003 must be set not later than the </w:t>
            </w:r>
            <w:r>
              <w:rPr>
                <w:u w:val="single"/>
              </w:rPr>
              <w:t>60th</w:t>
            </w:r>
            <w:r>
              <w:t xml:space="preserve"> [</w:t>
            </w:r>
            <w:r>
              <w:rPr>
                <w:strike/>
              </w:rPr>
              <w:t>30th</w:t>
            </w:r>
            <w:r>
              <w:t>] day after the date of service of the motion unless the docket conditions of the court require a later hearing</w:t>
            </w:r>
            <w:r>
              <w:rPr>
                <w:u w:val="single"/>
              </w:rPr>
              <w:t>, upon a showing of good cause, or by agreement of the parties, but in no event shall the hearing occur more than 90 days after service of the motion under Section 27.003, except as provided by Subsection (c)</w:t>
            </w:r>
            <w:r>
              <w:t xml:space="preserve">.  </w:t>
            </w:r>
          </w:p>
          <w:p w:rsidR="00DD10DD" w:rsidRDefault="00FC7DC7">
            <w:pPr>
              <w:jc w:val="both"/>
            </w:pPr>
            <w:r>
              <w:rPr>
                <w:u w:val="single"/>
              </w:rPr>
              <w:t xml:space="preserve">(b)  In the event that the court cannot hold a hearing in the time required by Subsection (a), the court may take judicial notice that the court's docket conditions required a hearing at a later date, but in no event shall the hearing occur more than 90 days after service of the motion under Section 27.003, except as provided by Subsection (c).  </w:t>
            </w:r>
          </w:p>
          <w:p w:rsidR="00DD10DD" w:rsidRDefault="00FC7DC7">
            <w:pPr>
              <w:jc w:val="both"/>
            </w:pPr>
            <w:r>
              <w:rPr>
                <w:u w:val="single"/>
              </w:rPr>
              <w:t>(c)  If the court allows discovery under Section 27.006(b), the court may extend the hearing date to allow discovery under that subsection, but in no event shall the hearing occur more than 120 days after the service of the motion under Section 27.003.</w:t>
            </w:r>
            <w:r>
              <w:t xml:space="preserve">  [FA1]</w:t>
            </w:r>
          </w:p>
        </w:tc>
        <w:tc>
          <w:tcPr>
            <w:tcW w:w="5760" w:type="dxa"/>
          </w:tcPr>
          <w:p w:rsidR="00DD10DD" w:rsidRDefault="00DD10DD">
            <w:pPr>
              <w:jc w:val="both"/>
            </w:pPr>
          </w:p>
        </w:tc>
      </w:tr>
      <w:tr w:rsidR="00DD10DD">
        <w:tc>
          <w:tcPr>
            <w:tcW w:w="6473" w:type="dxa"/>
          </w:tcPr>
          <w:p w:rsidR="00DD10DD" w:rsidRPr="00E71675" w:rsidRDefault="00FC7DC7">
            <w:pPr>
              <w:jc w:val="both"/>
              <w:rPr>
                <w:highlight w:val="darkGray"/>
              </w:rPr>
            </w:pPr>
            <w:r w:rsidRPr="00E71675">
              <w:rPr>
                <w:highlight w:val="darkGray"/>
              </w:rPr>
              <w:t>No equivalent provision.</w:t>
            </w:r>
          </w:p>
          <w:p w:rsidR="00DD10DD" w:rsidRPr="00E71675" w:rsidRDefault="00DD10DD">
            <w:pPr>
              <w:jc w:val="both"/>
              <w:rPr>
                <w:highlight w:val="darkGray"/>
              </w:rPr>
            </w:pPr>
          </w:p>
        </w:tc>
        <w:tc>
          <w:tcPr>
            <w:tcW w:w="6480" w:type="dxa"/>
          </w:tcPr>
          <w:p w:rsidR="00DD10DD" w:rsidRDefault="00FC7DC7">
            <w:pPr>
              <w:jc w:val="both"/>
            </w:pPr>
            <w:r>
              <w:t>SECTION __.  Section 27.005, Civil Practice and Remedies Code, is amended by adding Subsection (d) to read as follows:</w:t>
            </w:r>
          </w:p>
          <w:p w:rsidR="00DD10DD" w:rsidRDefault="00FC7DC7">
            <w:pPr>
              <w:jc w:val="both"/>
            </w:pPr>
            <w:r>
              <w:rPr>
                <w:u w:val="single"/>
              </w:rPr>
              <w:t>(d)  Notwithstanding the provisions of Subsection (c), the court shall dismiss a legal action against the moving party if the moving party establishes by a preponderance of the evidence each essential element of a valid defense to the nonmovant's claim.</w:t>
            </w:r>
            <w:r>
              <w:t xml:space="preserve">  [FA1]</w:t>
            </w:r>
          </w:p>
        </w:tc>
        <w:tc>
          <w:tcPr>
            <w:tcW w:w="5760" w:type="dxa"/>
          </w:tcPr>
          <w:p w:rsidR="00DD10DD" w:rsidRDefault="00DD10DD">
            <w:pPr>
              <w:jc w:val="both"/>
            </w:pPr>
          </w:p>
        </w:tc>
      </w:tr>
      <w:tr w:rsidR="00DD10DD">
        <w:tc>
          <w:tcPr>
            <w:tcW w:w="6473" w:type="dxa"/>
          </w:tcPr>
          <w:p w:rsidR="00DD10DD" w:rsidRPr="00E71675" w:rsidRDefault="00FC7DC7">
            <w:pPr>
              <w:jc w:val="both"/>
              <w:rPr>
                <w:highlight w:val="darkGray"/>
              </w:rPr>
            </w:pPr>
            <w:r w:rsidRPr="00E71675">
              <w:rPr>
                <w:highlight w:val="darkGray"/>
              </w:rPr>
              <w:t>No equivalent provision.</w:t>
            </w:r>
          </w:p>
          <w:p w:rsidR="00DD10DD" w:rsidRPr="00E71675" w:rsidRDefault="00DD10DD">
            <w:pPr>
              <w:jc w:val="both"/>
              <w:rPr>
                <w:highlight w:val="darkGray"/>
              </w:rPr>
            </w:pPr>
          </w:p>
        </w:tc>
        <w:tc>
          <w:tcPr>
            <w:tcW w:w="6480" w:type="dxa"/>
          </w:tcPr>
          <w:p w:rsidR="00DD10DD" w:rsidRDefault="00FC7DC7">
            <w:pPr>
              <w:jc w:val="both"/>
            </w:pPr>
            <w:r>
              <w:t xml:space="preserve">SECTION __.  Section 27.010, Civil Practice and Remedies Code, is amended by amending Subsection (b) and adding </w:t>
            </w:r>
            <w:r>
              <w:lastRenderedPageBreak/>
              <w:t>Subsection (d) to read as follows:</w:t>
            </w:r>
          </w:p>
          <w:p w:rsidR="00DD10DD" w:rsidRDefault="00FC7DC7">
            <w:pPr>
              <w:jc w:val="both"/>
            </w:pPr>
            <w:r>
              <w:t>(b)  This chapter does not apply to a legal action brought against a person primarily engaged in the business of selling or leasing goods or services, if the statement or conduct arises out of the sale or lease of goods, services, or an insurance product</w:t>
            </w:r>
            <w:r>
              <w:rPr>
                <w:u w:val="single"/>
              </w:rPr>
              <w:t>, insurance services,</w:t>
            </w:r>
            <w:r>
              <w:t xml:space="preserve"> or a commercial transaction in which the intended audience is an actual or potential buyer or customer.</w:t>
            </w:r>
          </w:p>
          <w:p w:rsidR="00DD10DD" w:rsidRDefault="00FC7DC7">
            <w:pPr>
              <w:jc w:val="both"/>
            </w:pPr>
            <w:r>
              <w:rPr>
                <w:u w:val="single"/>
              </w:rPr>
              <w:t>(d)  This chapter does not apply to a legal action brought under the Insurance Code or arising out of an insurance contract.</w:t>
            </w:r>
            <w:r>
              <w:t xml:space="preserve">  [FA1]</w:t>
            </w:r>
          </w:p>
        </w:tc>
        <w:tc>
          <w:tcPr>
            <w:tcW w:w="5760" w:type="dxa"/>
          </w:tcPr>
          <w:p w:rsidR="00DD10DD" w:rsidRDefault="00DD10DD">
            <w:pPr>
              <w:jc w:val="both"/>
            </w:pPr>
          </w:p>
        </w:tc>
      </w:tr>
      <w:tr w:rsidR="00DD10DD">
        <w:tc>
          <w:tcPr>
            <w:tcW w:w="6473" w:type="dxa"/>
          </w:tcPr>
          <w:p w:rsidR="00DD10DD" w:rsidRDefault="00FC7DC7">
            <w:pPr>
              <w:jc w:val="both"/>
            </w:pPr>
            <w:r>
              <w:lastRenderedPageBreak/>
              <w:t>SECTION 1.  Sections 51.014(a) and (b), Civil Practice and Remedies Code, are amended to read as follows:</w:t>
            </w:r>
          </w:p>
          <w:p w:rsidR="00DD10DD" w:rsidRDefault="00FC7DC7">
            <w:pPr>
              <w:jc w:val="both"/>
            </w:pPr>
            <w:r>
              <w:t>(a)  A person may appeal from an interlocutory order of a district court, county court at law, or county court that:</w:t>
            </w:r>
          </w:p>
          <w:p w:rsidR="00DD10DD" w:rsidRDefault="00FC7DC7">
            <w:pPr>
              <w:jc w:val="both"/>
            </w:pPr>
            <w:r>
              <w:t>(1)  appoints a receiver or trustee;</w:t>
            </w:r>
          </w:p>
          <w:p w:rsidR="00DD10DD" w:rsidRDefault="00FC7DC7">
            <w:pPr>
              <w:jc w:val="both"/>
            </w:pPr>
            <w:r>
              <w:t>(2)  overrules a motion to vacate an order that appoints a receiver or trustee;</w:t>
            </w:r>
          </w:p>
          <w:p w:rsidR="00DD10DD" w:rsidRDefault="00FC7DC7">
            <w:pPr>
              <w:jc w:val="both"/>
            </w:pPr>
            <w:r>
              <w:t>(3)  certifies or refuses to certify a class in a suit brought under Rule 42 of the Texas Rules of Civil Procedure;</w:t>
            </w:r>
          </w:p>
          <w:p w:rsidR="00DD10DD" w:rsidRDefault="00FC7DC7">
            <w:pPr>
              <w:jc w:val="both"/>
            </w:pPr>
            <w:r>
              <w:t>(4)  grants or refuses a temporary injunction or grants or overrules a motion to dissolve a temporary injunction as provided by Chapter 65;</w:t>
            </w:r>
          </w:p>
          <w:p w:rsidR="00DD10DD" w:rsidRDefault="00FC7DC7">
            <w:pPr>
              <w:jc w:val="both"/>
            </w:pPr>
            <w:r>
              <w:t>(5)  denies a motion for summary judgment that is based on an assertion of immunity by an individual who is an officer or employee of the state or a political subdivision of the state;</w:t>
            </w:r>
          </w:p>
          <w:p w:rsidR="00DD10DD" w:rsidRDefault="00FC7DC7">
            <w:pPr>
              <w:jc w:val="both"/>
            </w:pPr>
            <w:r>
              <w:t xml:space="preserve">(6)  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w:t>
            </w:r>
            <w:r>
              <w:lastRenderedPageBreak/>
              <w:t>free press clause of the First Amendment to the United States Constitution, or Article I, Section 8, of the Texas Constitution, or Chapter 73;</w:t>
            </w:r>
          </w:p>
          <w:p w:rsidR="00DD10DD" w:rsidRDefault="00FC7DC7">
            <w:pPr>
              <w:jc w:val="both"/>
            </w:pPr>
            <w:r>
              <w:t>(7)  grants or denies the special appearance of a defendant under Rule 120a, Texas Rules of Civil Procedure, except in a suit brought under the Family Code;</w:t>
            </w:r>
          </w:p>
          <w:p w:rsidR="00DD10DD" w:rsidRDefault="00FC7DC7">
            <w:pPr>
              <w:jc w:val="both"/>
            </w:pPr>
            <w:r>
              <w:t>(8)  grants or denies a plea to the jurisdiction by a governmental unit as that term is defined in Section 101.001;</w:t>
            </w:r>
          </w:p>
          <w:p w:rsidR="00DD10DD" w:rsidRDefault="00FC7DC7">
            <w:pPr>
              <w:jc w:val="both"/>
            </w:pPr>
            <w:r>
              <w:t>(9)  denies all or part of the relief sought by a motion under Section 74.351(b), except that an appeal may not be taken from an order granting an extension under Section 74.351;</w:t>
            </w:r>
          </w:p>
          <w:p w:rsidR="00DD10DD" w:rsidRDefault="00FC7DC7">
            <w:pPr>
              <w:jc w:val="both"/>
            </w:pPr>
            <w:r>
              <w:t>(10)  grants relief sought by a motion under Section 74.351(l); [</w:t>
            </w:r>
            <w:r>
              <w:rPr>
                <w:strike/>
              </w:rPr>
              <w:t>or</w:t>
            </w:r>
            <w:r>
              <w:t>]</w:t>
            </w:r>
          </w:p>
          <w:p w:rsidR="00DD10DD" w:rsidRDefault="00FC7DC7">
            <w:pPr>
              <w:jc w:val="both"/>
            </w:pPr>
            <w:r>
              <w:t>(11)  denies a motion to dismiss filed under Section 90.007</w:t>
            </w:r>
            <w:r>
              <w:rPr>
                <w:u w:val="single"/>
              </w:rPr>
              <w:t>; or</w:t>
            </w:r>
          </w:p>
          <w:p w:rsidR="00DD10DD" w:rsidRDefault="00FC7DC7">
            <w:pPr>
              <w:jc w:val="both"/>
            </w:pPr>
            <w:r>
              <w:rPr>
                <w:u w:val="single"/>
              </w:rPr>
              <w:t>(12)  denies a motion to dismiss filed under Section 27.003</w:t>
            </w:r>
            <w:r>
              <w:t>.</w:t>
            </w:r>
          </w:p>
          <w:p w:rsidR="00DD10DD" w:rsidRDefault="00FC7DC7">
            <w:pPr>
              <w:jc w:val="both"/>
            </w:pPr>
            <w:r>
              <w:t>(b)  An interlocutory appeal under Subsection (a), other than an appeal under Subsection (a)(4), stays the commencement of a trial in the trial court pending resolution of the appeal.  An interlocutory appeal under Subsection (a)(3), (5), [</w:t>
            </w:r>
            <w:r>
              <w:rPr>
                <w:strike/>
              </w:rPr>
              <w:t>or</w:t>
            </w:r>
            <w:r>
              <w:t>] (8)</w:t>
            </w:r>
            <w:r>
              <w:rPr>
                <w:u w:val="single"/>
              </w:rPr>
              <w:t>, or (12)</w:t>
            </w:r>
            <w:r>
              <w:t xml:space="preserve"> also stays all other proceedings in the trial court pending resolution of that appeal.</w:t>
            </w:r>
          </w:p>
        </w:tc>
        <w:tc>
          <w:tcPr>
            <w:tcW w:w="6480" w:type="dxa"/>
          </w:tcPr>
          <w:p w:rsidR="00DD10DD" w:rsidRDefault="00FC7DC7">
            <w:pPr>
              <w:jc w:val="both"/>
            </w:pPr>
            <w:r>
              <w:lastRenderedPageBreak/>
              <w:t>SECTION 1. Same as House version.</w:t>
            </w:r>
          </w:p>
          <w:p w:rsidR="00DD10DD" w:rsidRDefault="00DD10DD">
            <w:pPr>
              <w:jc w:val="both"/>
            </w:pPr>
          </w:p>
          <w:p w:rsidR="00DD10DD" w:rsidRDefault="00DD10DD">
            <w:pPr>
              <w:jc w:val="both"/>
            </w:pPr>
          </w:p>
        </w:tc>
        <w:tc>
          <w:tcPr>
            <w:tcW w:w="5760" w:type="dxa"/>
          </w:tcPr>
          <w:p w:rsidR="00DD10DD" w:rsidRDefault="00DD10DD">
            <w:pPr>
              <w:jc w:val="both"/>
            </w:pPr>
          </w:p>
        </w:tc>
      </w:tr>
      <w:tr w:rsidR="00DD10DD">
        <w:tc>
          <w:tcPr>
            <w:tcW w:w="6473" w:type="dxa"/>
          </w:tcPr>
          <w:p w:rsidR="00DD10DD" w:rsidRDefault="00FC7DC7">
            <w:pPr>
              <w:jc w:val="both"/>
            </w:pPr>
            <w:r>
              <w:lastRenderedPageBreak/>
              <w:t>SECTION 2.  Section 27.008(c), Civil Practice and Remedies Code, is repealed.</w:t>
            </w:r>
          </w:p>
        </w:tc>
        <w:tc>
          <w:tcPr>
            <w:tcW w:w="6480" w:type="dxa"/>
          </w:tcPr>
          <w:p w:rsidR="00DD10DD" w:rsidRDefault="00FC7DC7">
            <w:pPr>
              <w:jc w:val="both"/>
            </w:pPr>
            <w:r>
              <w:t>SECTION 2. Same as House version.</w:t>
            </w:r>
          </w:p>
          <w:p w:rsidR="00DD10DD" w:rsidRDefault="00DD10DD">
            <w:pPr>
              <w:jc w:val="both"/>
            </w:pPr>
          </w:p>
        </w:tc>
        <w:tc>
          <w:tcPr>
            <w:tcW w:w="5760" w:type="dxa"/>
          </w:tcPr>
          <w:p w:rsidR="00DD10DD" w:rsidRDefault="00DD10DD">
            <w:pPr>
              <w:jc w:val="both"/>
            </w:pPr>
          </w:p>
        </w:tc>
      </w:tr>
      <w:tr w:rsidR="00DD10DD">
        <w:tc>
          <w:tcPr>
            <w:tcW w:w="6473" w:type="dxa"/>
          </w:tcPr>
          <w:p w:rsidR="00DD10DD" w:rsidRDefault="00FC7DC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DD10DD" w:rsidRDefault="00FC7DC7">
            <w:pPr>
              <w:jc w:val="both"/>
            </w:pPr>
            <w:r>
              <w:t>SECTION 3. Same as House version.</w:t>
            </w:r>
          </w:p>
          <w:p w:rsidR="00DD10DD" w:rsidRDefault="00DD10DD">
            <w:pPr>
              <w:jc w:val="both"/>
            </w:pPr>
          </w:p>
          <w:p w:rsidR="00DD10DD" w:rsidRDefault="00DD10DD">
            <w:pPr>
              <w:jc w:val="both"/>
            </w:pPr>
          </w:p>
        </w:tc>
        <w:tc>
          <w:tcPr>
            <w:tcW w:w="5760" w:type="dxa"/>
          </w:tcPr>
          <w:p w:rsidR="00DD10DD" w:rsidRDefault="00DD10DD">
            <w:pPr>
              <w:jc w:val="both"/>
            </w:pPr>
          </w:p>
        </w:tc>
      </w:tr>
    </w:tbl>
    <w:p w:rsidR="00D40A4E" w:rsidRDefault="00D40A4E"/>
    <w:sectPr w:rsidR="00D40A4E" w:rsidSect="00DD10D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CA" w:rsidRDefault="00FD55CA" w:rsidP="00DD10DD">
      <w:r>
        <w:separator/>
      </w:r>
    </w:p>
  </w:endnote>
  <w:endnote w:type="continuationSeparator" w:id="0">
    <w:p w:rsidR="00FD55CA" w:rsidRDefault="00FD55CA" w:rsidP="00DD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1" w:rsidRDefault="00086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DD" w:rsidRDefault="00195F1F">
    <w:pPr>
      <w:tabs>
        <w:tab w:val="center" w:pos="9360"/>
        <w:tab w:val="right" w:pos="18720"/>
      </w:tabs>
    </w:pPr>
    <w:fldSimple w:instr=" DOCPROPERTY  CCRF  \* MERGEFORMAT ">
      <w:r w:rsidR="00E71675">
        <w:t xml:space="preserve"> </w:t>
      </w:r>
    </w:fldSimple>
    <w:r w:rsidR="00FC7DC7">
      <w:tab/>
    </w:r>
    <w:r w:rsidR="00DD10DD">
      <w:fldChar w:fldCharType="begin"/>
    </w:r>
    <w:r w:rsidR="00FC7DC7">
      <w:instrText xml:space="preserve"> PAGE </w:instrText>
    </w:r>
    <w:r w:rsidR="00DD10DD">
      <w:fldChar w:fldCharType="separate"/>
    </w:r>
    <w:r w:rsidR="001E7037">
      <w:rPr>
        <w:noProof/>
      </w:rPr>
      <w:t>1</w:t>
    </w:r>
    <w:r w:rsidR="00DD10DD">
      <w:fldChar w:fldCharType="end"/>
    </w:r>
    <w:r w:rsidR="00FC7DC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1" w:rsidRDefault="00086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CA" w:rsidRDefault="00FD55CA" w:rsidP="00DD10DD">
      <w:r>
        <w:separator/>
      </w:r>
    </w:p>
  </w:footnote>
  <w:footnote w:type="continuationSeparator" w:id="0">
    <w:p w:rsidR="00FD55CA" w:rsidRDefault="00FD55CA" w:rsidP="00DD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1" w:rsidRDefault="00086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1" w:rsidRDefault="00086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1" w:rsidRDefault="00086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DD"/>
    <w:rsid w:val="000869C1"/>
    <w:rsid w:val="00184459"/>
    <w:rsid w:val="00195F1F"/>
    <w:rsid w:val="001E7037"/>
    <w:rsid w:val="003A06EA"/>
    <w:rsid w:val="004E7736"/>
    <w:rsid w:val="00D40A4E"/>
    <w:rsid w:val="00DD10DD"/>
    <w:rsid w:val="00E71675"/>
    <w:rsid w:val="00E97708"/>
    <w:rsid w:val="00FC7DC7"/>
    <w:rsid w:val="00FD55C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C1"/>
    <w:pPr>
      <w:tabs>
        <w:tab w:val="center" w:pos="4680"/>
        <w:tab w:val="right" w:pos="9360"/>
      </w:tabs>
    </w:pPr>
  </w:style>
  <w:style w:type="character" w:customStyle="1" w:styleId="HeaderChar">
    <w:name w:val="Header Char"/>
    <w:link w:val="Header"/>
    <w:uiPriority w:val="99"/>
    <w:rsid w:val="000869C1"/>
    <w:rPr>
      <w:sz w:val="22"/>
    </w:rPr>
  </w:style>
  <w:style w:type="paragraph" w:styleId="Footer">
    <w:name w:val="footer"/>
    <w:basedOn w:val="Normal"/>
    <w:link w:val="FooterChar"/>
    <w:uiPriority w:val="99"/>
    <w:unhideWhenUsed/>
    <w:rsid w:val="000869C1"/>
    <w:pPr>
      <w:tabs>
        <w:tab w:val="center" w:pos="4680"/>
        <w:tab w:val="right" w:pos="9360"/>
      </w:tabs>
    </w:pPr>
  </w:style>
  <w:style w:type="character" w:customStyle="1" w:styleId="FooterChar">
    <w:name w:val="Footer Char"/>
    <w:link w:val="Footer"/>
    <w:uiPriority w:val="99"/>
    <w:rsid w:val="000869C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C1"/>
    <w:pPr>
      <w:tabs>
        <w:tab w:val="center" w:pos="4680"/>
        <w:tab w:val="right" w:pos="9360"/>
      </w:tabs>
    </w:pPr>
  </w:style>
  <w:style w:type="character" w:customStyle="1" w:styleId="HeaderChar">
    <w:name w:val="Header Char"/>
    <w:link w:val="Header"/>
    <w:uiPriority w:val="99"/>
    <w:rsid w:val="000869C1"/>
    <w:rPr>
      <w:sz w:val="22"/>
    </w:rPr>
  </w:style>
  <w:style w:type="paragraph" w:styleId="Footer">
    <w:name w:val="footer"/>
    <w:basedOn w:val="Normal"/>
    <w:link w:val="FooterChar"/>
    <w:uiPriority w:val="99"/>
    <w:unhideWhenUsed/>
    <w:rsid w:val="000869C1"/>
    <w:pPr>
      <w:tabs>
        <w:tab w:val="center" w:pos="4680"/>
        <w:tab w:val="right" w:pos="9360"/>
      </w:tabs>
    </w:pPr>
  </w:style>
  <w:style w:type="character" w:customStyle="1" w:styleId="FooterChar">
    <w:name w:val="Footer Char"/>
    <w:link w:val="Footer"/>
    <w:uiPriority w:val="99"/>
    <w:rsid w:val="000869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HB2935-SAA</vt:lpstr>
    </vt:vector>
  </TitlesOfParts>
  <Company>Texas Legislative Council</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HB2935-SAA</dc:title>
  <dc:creator>CME</dc:creator>
  <cp:lastModifiedBy>WKS</cp:lastModifiedBy>
  <cp:revision>2</cp:revision>
  <dcterms:created xsi:type="dcterms:W3CDTF">2013-05-23T04:42:00Z</dcterms:created>
  <dcterms:modified xsi:type="dcterms:W3CDTF">2013-05-23T04:42:00Z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