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D4C40" w:rsidTr="00ED4C40">
        <w:trPr>
          <w:cantSplit/>
          <w:tblHeader/>
        </w:trPr>
        <w:tc>
          <w:tcPr>
            <w:tcW w:w="18713" w:type="dxa"/>
            <w:gridSpan w:val="3"/>
          </w:tcPr>
          <w:p w:rsidR="005B6825" w:rsidRDefault="002450AE">
            <w:pPr>
              <w:ind w:left="650"/>
              <w:jc w:val="center"/>
            </w:pPr>
            <w:bookmarkStart w:id="0" w:name="_GoBack"/>
            <w:bookmarkEnd w:id="0"/>
            <w:r>
              <w:rPr>
                <w:b/>
              </w:rPr>
              <w:t>House Bill  3447</w:t>
            </w:r>
          </w:p>
          <w:p w:rsidR="005B6825" w:rsidRDefault="002450AE">
            <w:pPr>
              <w:ind w:left="650"/>
              <w:jc w:val="center"/>
            </w:pPr>
            <w:r>
              <w:t>Senate Amendments</w:t>
            </w:r>
          </w:p>
          <w:p w:rsidR="005B6825" w:rsidRDefault="002450AE">
            <w:pPr>
              <w:ind w:left="650"/>
              <w:jc w:val="center"/>
            </w:pPr>
            <w:r>
              <w:t>Section-by-Section Analysis</w:t>
            </w:r>
          </w:p>
          <w:p w:rsidR="005B6825" w:rsidRDefault="005B6825">
            <w:pPr>
              <w:jc w:val="center"/>
            </w:pPr>
          </w:p>
        </w:tc>
      </w:tr>
      <w:tr w:rsidR="005B6825">
        <w:trPr>
          <w:cantSplit/>
          <w:tblHeader/>
        </w:trPr>
        <w:tc>
          <w:tcPr>
            <w:tcW w:w="1667" w:type="pct"/>
            <w:tcMar>
              <w:bottom w:w="188" w:type="dxa"/>
              <w:right w:w="0" w:type="dxa"/>
            </w:tcMar>
          </w:tcPr>
          <w:p w:rsidR="005B6825" w:rsidRDefault="002450AE">
            <w:pPr>
              <w:jc w:val="center"/>
            </w:pPr>
            <w:r>
              <w:t>HOUSE VERSION</w:t>
            </w:r>
          </w:p>
        </w:tc>
        <w:tc>
          <w:tcPr>
            <w:tcW w:w="1667" w:type="pct"/>
            <w:tcMar>
              <w:bottom w:w="188" w:type="dxa"/>
              <w:right w:w="0" w:type="dxa"/>
            </w:tcMar>
          </w:tcPr>
          <w:p w:rsidR="005B6825" w:rsidRDefault="002450AE">
            <w:pPr>
              <w:jc w:val="center"/>
            </w:pPr>
            <w:r>
              <w:t>SENATE VERSION (IE)</w:t>
            </w:r>
          </w:p>
        </w:tc>
        <w:tc>
          <w:tcPr>
            <w:tcW w:w="1667" w:type="pct"/>
            <w:tcMar>
              <w:bottom w:w="188" w:type="dxa"/>
              <w:right w:w="0" w:type="dxa"/>
            </w:tcMar>
          </w:tcPr>
          <w:p w:rsidR="005B6825" w:rsidRDefault="002450AE">
            <w:pPr>
              <w:jc w:val="center"/>
            </w:pPr>
            <w:r>
              <w:t>CONFERENCE</w:t>
            </w:r>
          </w:p>
        </w:tc>
      </w:tr>
      <w:tr w:rsidR="005B6825">
        <w:tc>
          <w:tcPr>
            <w:tcW w:w="6473" w:type="dxa"/>
          </w:tcPr>
          <w:p w:rsidR="005B6825" w:rsidRDefault="002450AE">
            <w:pPr>
              <w:jc w:val="both"/>
            </w:pPr>
            <w:r w:rsidRPr="00ED15E6">
              <w:rPr>
                <w:highlight w:val="darkGray"/>
              </w:rPr>
              <w:t>No equivalent provision.</w:t>
            </w:r>
          </w:p>
        </w:tc>
        <w:tc>
          <w:tcPr>
            <w:tcW w:w="6480" w:type="dxa"/>
          </w:tcPr>
          <w:p w:rsidR="005B6825" w:rsidRDefault="002450AE">
            <w:pPr>
              <w:jc w:val="both"/>
            </w:pPr>
            <w:r>
              <w:t>SECTION __.  Section 253.001, Local Government Code, is amended by adding Subsections (m), (n), and (o) to read as follows:</w:t>
            </w:r>
          </w:p>
          <w:p w:rsidR="005B6825" w:rsidRDefault="002450AE">
            <w:pPr>
              <w:jc w:val="both"/>
            </w:pPr>
            <w:r>
              <w:rPr>
                <w:u w:val="single"/>
              </w:rPr>
              <w:t>(m)  Subsection (b) does not apply to the sale of a public square or park if:</w:t>
            </w:r>
          </w:p>
          <w:p w:rsidR="005B6825" w:rsidRDefault="002450AE">
            <w:pPr>
              <w:jc w:val="both"/>
            </w:pPr>
            <w:r>
              <w:rPr>
                <w:u w:val="single"/>
              </w:rPr>
              <w:t>(1)  the land was part of the site of a world exposition recognized by the Bureau International des Expositions; and</w:t>
            </w:r>
          </w:p>
          <w:p w:rsidR="005B6825" w:rsidRDefault="002450AE">
            <w:pPr>
              <w:jc w:val="both"/>
            </w:pPr>
            <w:r>
              <w:rPr>
                <w:u w:val="single"/>
              </w:rPr>
              <w:t>(2)  the remainder of the world exposition site includes dedicated public squares or parks that have a total area of 18 acres or more.</w:t>
            </w:r>
          </w:p>
          <w:p w:rsidR="005B6825" w:rsidRDefault="002450AE">
            <w:pPr>
              <w:jc w:val="both"/>
            </w:pPr>
            <w:r>
              <w:rPr>
                <w:u w:val="single"/>
              </w:rPr>
              <w:t>(n)  The area dedicated under Subsection (m)(2) may include an area for which the municipality commits to demolishing any non-park improvements within 48 months after the date of the dedication.</w:t>
            </w:r>
          </w:p>
          <w:p w:rsidR="005B6825" w:rsidRDefault="002450AE">
            <w:pPr>
              <w:jc w:val="both"/>
            </w:pPr>
            <w:r>
              <w:rPr>
                <w:u w:val="single"/>
              </w:rPr>
              <w:t>(o)  A petition for judicial review of a sale under Subsection (m) must be filed on or before the 60th day after the date the ordinance or resolution authorizing the sale is adopted.  A petition filed after that date is barred.</w:t>
            </w:r>
            <w:r>
              <w:t xml:space="preserve">  [FA1]</w:t>
            </w:r>
          </w:p>
        </w:tc>
        <w:tc>
          <w:tcPr>
            <w:tcW w:w="5760" w:type="dxa"/>
          </w:tcPr>
          <w:p w:rsidR="005B6825" w:rsidRDefault="005B6825">
            <w:pPr>
              <w:jc w:val="both"/>
            </w:pPr>
          </w:p>
        </w:tc>
      </w:tr>
      <w:tr w:rsidR="005B6825">
        <w:tc>
          <w:tcPr>
            <w:tcW w:w="6473" w:type="dxa"/>
          </w:tcPr>
          <w:p w:rsidR="005B6825" w:rsidRDefault="002450AE">
            <w:pPr>
              <w:jc w:val="both"/>
            </w:pPr>
            <w:r w:rsidRPr="00ED15E6">
              <w:rPr>
                <w:highlight w:val="darkGray"/>
              </w:rPr>
              <w:t>No equivalent provision.</w:t>
            </w:r>
          </w:p>
          <w:p w:rsidR="005B6825" w:rsidRDefault="005B6825">
            <w:pPr>
              <w:jc w:val="both"/>
            </w:pPr>
          </w:p>
        </w:tc>
        <w:tc>
          <w:tcPr>
            <w:tcW w:w="6480" w:type="dxa"/>
          </w:tcPr>
          <w:p w:rsidR="005B6825" w:rsidRDefault="002450AE">
            <w:pPr>
              <w:jc w:val="both"/>
            </w:pPr>
            <w:r>
              <w:t>SECTION __.  Chapter 253, Local Government Code, is amended by adding Section 253.0011 to read as follows:</w:t>
            </w:r>
          </w:p>
          <w:p w:rsidR="005B6825" w:rsidRDefault="002450AE">
            <w:pPr>
              <w:jc w:val="both"/>
            </w:pPr>
            <w:r>
              <w:rPr>
                <w:u w:val="single"/>
              </w:rPr>
              <w:t>Sec. 253.0011.  SALE OR LEASE OF LAND USED FOR WORLD EXPOSITION RESTRICTED.  If a municipality sells or leases a public square or park as authorized by Section 253.001(m), the aggregate square footage of hotel improvements to be constructed on any property sold or leased by the municipality that was part of the site of a world exposition recognized by the Bureau International des Expositions may not exceed 20 percent of the aggregate square footage of any improvements other than a convention center that:</w:t>
            </w:r>
          </w:p>
          <w:p w:rsidR="005B6825" w:rsidRDefault="002450AE">
            <w:pPr>
              <w:jc w:val="both"/>
            </w:pPr>
            <w:r>
              <w:rPr>
                <w:u w:val="single"/>
              </w:rPr>
              <w:t xml:space="preserve">(1)  are located on property sold or leased by the municipality </w:t>
            </w:r>
            <w:r>
              <w:rPr>
                <w:u w:val="single"/>
              </w:rPr>
              <w:lastRenderedPageBreak/>
              <w:t>on that site; and</w:t>
            </w:r>
          </w:p>
          <w:p w:rsidR="005B6825" w:rsidRDefault="002450AE">
            <w:pPr>
              <w:jc w:val="both"/>
            </w:pPr>
            <w:r>
              <w:rPr>
                <w:u w:val="single"/>
              </w:rPr>
              <w:t>(2)  are constructed after June 1, 2013.</w:t>
            </w:r>
            <w:r>
              <w:t xml:space="preserve">  [FA1]</w:t>
            </w:r>
          </w:p>
        </w:tc>
        <w:tc>
          <w:tcPr>
            <w:tcW w:w="5760" w:type="dxa"/>
          </w:tcPr>
          <w:p w:rsidR="005B6825" w:rsidRDefault="005B6825">
            <w:pPr>
              <w:jc w:val="both"/>
            </w:pPr>
          </w:p>
        </w:tc>
      </w:tr>
      <w:tr w:rsidR="005B6825">
        <w:tc>
          <w:tcPr>
            <w:tcW w:w="6473" w:type="dxa"/>
          </w:tcPr>
          <w:p w:rsidR="005B6825" w:rsidRDefault="002450AE">
            <w:pPr>
              <w:jc w:val="both"/>
            </w:pPr>
            <w:r>
              <w:lastRenderedPageBreak/>
              <w:t>SECTION 1.  Section 379C.002, Local Government Code, is amended to read as follows:</w:t>
            </w:r>
          </w:p>
          <w:p w:rsidR="005B6825" w:rsidRDefault="002450AE">
            <w:pPr>
              <w:jc w:val="both"/>
            </w:pPr>
            <w:r>
              <w:t>Sec. 379C.002.  APPLICABILITY.  This chapter applies only to home-rule municipalities that:</w:t>
            </w:r>
          </w:p>
          <w:p w:rsidR="005B6825" w:rsidRDefault="002450AE">
            <w:pPr>
              <w:jc w:val="both"/>
            </w:pPr>
            <w:r>
              <w:t>(1)  have a population of 1.18 million or more; and</w:t>
            </w:r>
          </w:p>
          <w:p w:rsidR="005B6825" w:rsidRDefault="002450AE">
            <w:pPr>
              <w:jc w:val="both"/>
            </w:pPr>
            <w:r>
              <w:t xml:space="preserve">(2)  are located predominantly in a county that has a total area of less than </w:t>
            </w:r>
            <w:r>
              <w:rPr>
                <w:u w:val="single"/>
              </w:rPr>
              <w:t>1,300</w:t>
            </w:r>
            <w:r>
              <w:t xml:space="preserve"> [</w:t>
            </w:r>
            <w:r>
              <w:rPr>
                <w:strike/>
              </w:rPr>
              <w:t>1,000</w:t>
            </w:r>
            <w:r>
              <w:t>] square miles.</w:t>
            </w:r>
          </w:p>
        </w:tc>
        <w:tc>
          <w:tcPr>
            <w:tcW w:w="6480" w:type="dxa"/>
          </w:tcPr>
          <w:p w:rsidR="005B6825" w:rsidRDefault="002450AE">
            <w:pPr>
              <w:jc w:val="both"/>
            </w:pPr>
            <w:r>
              <w:t>SECTION 1. Same as House version.</w:t>
            </w:r>
          </w:p>
          <w:p w:rsidR="005B6825" w:rsidRDefault="005B6825">
            <w:pPr>
              <w:jc w:val="both"/>
            </w:pPr>
          </w:p>
          <w:p w:rsidR="005B6825" w:rsidRDefault="005B6825">
            <w:pPr>
              <w:jc w:val="both"/>
            </w:pPr>
          </w:p>
        </w:tc>
        <w:tc>
          <w:tcPr>
            <w:tcW w:w="5760" w:type="dxa"/>
          </w:tcPr>
          <w:p w:rsidR="005B6825" w:rsidRDefault="005B6825">
            <w:pPr>
              <w:jc w:val="both"/>
            </w:pPr>
          </w:p>
        </w:tc>
      </w:tr>
      <w:tr w:rsidR="005B6825">
        <w:tc>
          <w:tcPr>
            <w:tcW w:w="6473" w:type="dxa"/>
          </w:tcPr>
          <w:p w:rsidR="005B6825" w:rsidRDefault="002450AE">
            <w:pPr>
              <w:jc w:val="both"/>
            </w:pPr>
            <w:r>
              <w:t>SECTION 2.  This Act takes effect September 1, 2013.</w:t>
            </w:r>
          </w:p>
        </w:tc>
        <w:tc>
          <w:tcPr>
            <w:tcW w:w="6480" w:type="dxa"/>
          </w:tcPr>
          <w:p w:rsidR="005B6825" w:rsidRDefault="002450AE">
            <w:pPr>
              <w:jc w:val="both"/>
            </w:pPr>
            <w:r>
              <w:t>SECTION 2. Same as House version.</w:t>
            </w:r>
          </w:p>
        </w:tc>
        <w:tc>
          <w:tcPr>
            <w:tcW w:w="5760" w:type="dxa"/>
          </w:tcPr>
          <w:p w:rsidR="005B6825" w:rsidRDefault="005B6825">
            <w:pPr>
              <w:jc w:val="both"/>
            </w:pPr>
          </w:p>
        </w:tc>
      </w:tr>
    </w:tbl>
    <w:p w:rsidR="00D32AC2" w:rsidRDefault="00D32AC2"/>
    <w:sectPr w:rsidR="00D32AC2" w:rsidSect="005B682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EE" w:rsidRDefault="00D94DEE" w:rsidP="005B6825">
      <w:r>
        <w:separator/>
      </w:r>
    </w:p>
  </w:endnote>
  <w:endnote w:type="continuationSeparator" w:id="0">
    <w:p w:rsidR="00D94DEE" w:rsidRDefault="00D94DEE" w:rsidP="005B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3" w:rsidRDefault="00C2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5" w:rsidRDefault="003C012B">
    <w:pPr>
      <w:tabs>
        <w:tab w:val="center" w:pos="9360"/>
        <w:tab w:val="right" w:pos="18720"/>
      </w:tabs>
    </w:pPr>
    <w:fldSimple w:instr=" DOCPROPERTY  CCRF  \* MERGEFORMAT ">
      <w:r w:rsidR="00ED15E6">
        <w:t xml:space="preserve"> </w:t>
      </w:r>
    </w:fldSimple>
    <w:r w:rsidR="002450AE">
      <w:tab/>
    </w:r>
    <w:r w:rsidR="005B6825">
      <w:fldChar w:fldCharType="begin"/>
    </w:r>
    <w:r w:rsidR="002450AE">
      <w:instrText xml:space="preserve"> PAGE </w:instrText>
    </w:r>
    <w:r w:rsidR="005B6825">
      <w:fldChar w:fldCharType="separate"/>
    </w:r>
    <w:r w:rsidR="00B45F0D">
      <w:rPr>
        <w:noProof/>
      </w:rPr>
      <w:t>1</w:t>
    </w:r>
    <w:r w:rsidR="005B6825">
      <w:fldChar w:fldCharType="end"/>
    </w:r>
    <w:r w:rsidR="002450A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3" w:rsidRDefault="00C23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EE" w:rsidRDefault="00D94DEE" w:rsidP="005B6825">
      <w:r>
        <w:separator/>
      </w:r>
    </w:p>
  </w:footnote>
  <w:footnote w:type="continuationSeparator" w:id="0">
    <w:p w:rsidR="00D94DEE" w:rsidRDefault="00D94DEE" w:rsidP="005B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3" w:rsidRDefault="00C23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3" w:rsidRDefault="00C23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23" w:rsidRDefault="00C23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25"/>
    <w:rsid w:val="002450AE"/>
    <w:rsid w:val="003C012B"/>
    <w:rsid w:val="005B6825"/>
    <w:rsid w:val="008A321F"/>
    <w:rsid w:val="00B45F0D"/>
    <w:rsid w:val="00C23923"/>
    <w:rsid w:val="00C375BA"/>
    <w:rsid w:val="00D32AC2"/>
    <w:rsid w:val="00D94DEE"/>
    <w:rsid w:val="00ED15E6"/>
    <w:rsid w:val="00ED4C40"/>
    <w:rsid w:val="00F630C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23"/>
    <w:pPr>
      <w:tabs>
        <w:tab w:val="center" w:pos="4680"/>
        <w:tab w:val="right" w:pos="9360"/>
      </w:tabs>
    </w:pPr>
  </w:style>
  <w:style w:type="character" w:customStyle="1" w:styleId="HeaderChar">
    <w:name w:val="Header Char"/>
    <w:link w:val="Header"/>
    <w:uiPriority w:val="99"/>
    <w:rsid w:val="00C23923"/>
    <w:rPr>
      <w:sz w:val="22"/>
    </w:rPr>
  </w:style>
  <w:style w:type="paragraph" w:styleId="Footer">
    <w:name w:val="footer"/>
    <w:basedOn w:val="Normal"/>
    <w:link w:val="FooterChar"/>
    <w:uiPriority w:val="99"/>
    <w:unhideWhenUsed/>
    <w:rsid w:val="00C23923"/>
    <w:pPr>
      <w:tabs>
        <w:tab w:val="center" w:pos="4680"/>
        <w:tab w:val="right" w:pos="9360"/>
      </w:tabs>
    </w:pPr>
  </w:style>
  <w:style w:type="character" w:customStyle="1" w:styleId="FooterChar">
    <w:name w:val="Footer Char"/>
    <w:link w:val="Footer"/>
    <w:uiPriority w:val="99"/>
    <w:rsid w:val="00C239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23"/>
    <w:pPr>
      <w:tabs>
        <w:tab w:val="center" w:pos="4680"/>
        <w:tab w:val="right" w:pos="9360"/>
      </w:tabs>
    </w:pPr>
  </w:style>
  <w:style w:type="character" w:customStyle="1" w:styleId="HeaderChar">
    <w:name w:val="Header Char"/>
    <w:link w:val="Header"/>
    <w:uiPriority w:val="99"/>
    <w:rsid w:val="00C23923"/>
    <w:rPr>
      <w:sz w:val="22"/>
    </w:rPr>
  </w:style>
  <w:style w:type="paragraph" w:styleId="Footer">
    <w:name w:val="footer"/>
    <w:basedOn w:val="Normal"/>
    <w:link w:val="FooterChar"/>
    <w:uiPriority w:val="99"/>
    <w:unhideWhenUsed/>
    <w:rsid w:val="00C23923"/>
    <w:pPr>
      <w:tabs>
        <w:tab w:val="center" w:pos="4680"/>
        <w:tab w:val="right" w:pos="9360"/>
      </w:tabs>
    </w:pPr>
  </w:style>
  <w:style w:type="character" w:customStyle="1" w:styleId="FooterChar">
    <w:name w:val="Footer Char"/>
    <w:link w:val="Footer"/>
    <w:uiPriority w:val="99"/>
    <w:rsid w:val="00C239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HB3447-SAA</vt:lpstr>
    </vt:vector>
  </TitlesOfParts>
  <Company>Texas Legislative Council</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HB3447-SAA</dc:title>
  <dc:creator>WKS</dc:creator>
  <cp:lastModifiedBy>WKS</cp:lastModifiedBy>
  <cp:revision>2</cp:revision>
  <dcterms:created xsi:type="dcterms:W3CDTF">2013-05-22T01:19:00Z</dcterms:created>
  <dcterms:modified xsi:type="dcterms:W3CDTF">2013-05-22T01:19:00Z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