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F1F8B" w:rsidTr="002F1F8B">
        <w:trPr>
          <w:cantSplit/>
          <w:tblHeader/>
        </w:trPr>
        <w:tc>
          <w:tcPr>
            <w:tcW w:w="18713" w:type="dxa"/>
            <w:gridSpan w:val="3"/>
          </w:tcPr>
          <w:p w:rsidR="00E15801" w:rsidRDefault="002605C3">
            <w:pPr>
              <w:ind w:left="650"/>
              <w:jc w:val="center"/>
            </w:pPr>
            <w:bookmarkStart w:id="0" w:name="_GoBack"/>
            <w:bookmarkEnd w:id="0"/>
            <w:r>
              <w:rPr>
                <w:b/>
              </w:rPr>
              <w:t>House Bill  3567</w:t>
            </w:r>
          </w:p>
          <w:p w:rsidR="00E15801" w:rsidRDefault="002605C3">
            <w:pPr>
              <w:ind w:left="650"/>
              <w:jc w:val="center"/>
            </w:pPr>
            <w:r>
              <w:t>Senate Amendments</w:t>
            </w:r>
          </w:p>
          <w:p w:rsidR="00E15801" w:rsidRDefault="002605C3">
            <w:pPr>
              <w:ind w:left="650"/>
              <w:jc w:val="center"/>
            </w:pPr>
            <w:r>
              <w:t>Section-by-Section Analysis</w:t>
            </w:r>
          </w:p>
          <w:p w:rsidR="00E15801" w:rsidRDefault="00E15801">
            <w:pPr>
              <w:jc w:val="center"/>
            </w:pPr>
          </w:p>
        </w:tc>
      </w:tr>
      <w:tr w:rsidR="00E15801">
        <w:trPr>
          <w:cantSplit/>
          <w:tblHeader/>
        </w:trPr>
        <w:tc>
          <w:tcPr>
            <w:tcW w:w="1667" w:type="pct"/>
            <w:tcMar>
              <w:bottom w:w="188" w:type="dxa"/>
              <w:right w:w="0" w:type="dxa"/>
            </w:tcMar>
          </w:tcPr>
          <w:p w:rsidR="00E15801" w:rsidRDefault="002605C3">
            <w:pPr>
              <w:jc w:val="center"/>
            </w:pPr>
            <w:r>
              <w:t>HOUSE VERSION</w:t>
            </w:r>
          </w:p>
        </w:tc>
        <w:tc>
          <w:tcPr>
            <w:tcW w:w="1667" w:type="pct"/>
            <w:tcMar>
              <w:bottom w:w="188" w:type="dxa"/>
              <w:right w:w="0" w:type="dxa"/>
            </w:tcMar>
          </w:tcPr>
          <w:p w:rsidR="00E15801" w:rsidRDefault="002605C3">
            <w:pPr>
              <w:jc w:val="center"/>
            </w:pPr>
            <w:r>
              <w:t>SENATE VERSION (CS)</w:t>
            </w:r>
          </w:p>
        </w:tc>
        <w:tc>
          <w:tcPr>
            <w:tcW w:w="1667" w:type="pct"/>
            <w:tcMar>
              <w:bottom w:w="188" w:type="dxa"/>
              <w:right w:w="0" w:type="dxa"/>
            </w:tcMar>
          </w:tcPr>
          <w:p w:rsidR="00E15801" w:rsidRDefault="002605C3">
            <w:pPr>
              <w:jc w:val="center"/>
            </w:pPr>
            <w:r>
              <w:t>CONFERENCE</w:t>
            </w:r>
          </w:p>
        </w:tc>
      </w:tr>
      <w:tr w:rsidR="00E15801">
        <w:tc>
          <w:tcPr>
            <w:tcW w:w="6473" w:type="dxa"/>
          </w:tcPr>
          <w:p w:rsidR="00E15801" w:rsidRDefault="002605C3">
            <w:pPr>
              <w:jc w:val="both"/>
            </w:pPr>
            <w:r>
              <w:t>SECTION 1.  Section 1951.101(a), Occupations Code, is amended to read as follows:</w:t>
            </w:r>
          </w:p>
          <w:p w:rsidR="00E15801" w:rsidRDefault="002605C3">
            <w:pPr>
              <w:jc w:val="both"/>
            </w:pPr>
            <w:r>
              <w:t xml:space="preserve">(a)  The committee consists of </w:t>
            </w:r>
            <w:r w:rsidRPr="00BA5C4A">
              <w:rPr>
                <w:highlight w:val="darkGray"/>
              </w:rPr>
              <w:t>nine</w:t>
            </w:r>
            <w:r>
              <w:t xml:space="preserve"> members appointed by the commissioner as follows:</w:t>
            </w:r>
          </w:p>
          <w:p w:rsidR="00E15801" w:rsidRDefault="002605C3">
            <w:pPr>
              <w:jc w:val="both"/>
            </w:pPr>
            <w:r>
              <w:t>(1)  [</w:t>
            </w:r>
            <w:r>
              <w:rPr>
                <w:strike/>
              </w:rPr>
              <w:t xml:space="preserve">two members </w:t>
            </w:r>
            <w:r w:rsidRPr="00BA5C4A">
              <w:rPr>
                <w:strike/>
                <w:highlight w:val="darkGray"/>
              </w:rPr>
              <w:t>who</w:t>
            </w:r>
            <w:r>
              <w:rPr>
                <w:strike/>
              </w:rPr>
              <w:t xml:space="preserve"> are experts in structural pest control application;</w:t>
            </w:r>
          </w:p>
          <w:p w:rsidR="00323DB0" w:rsidRDefault="00323DB0">
            <w:pPr>
              <w:jc w:val="both"/>
            </w:pPr>
          </w:p>
          <w:p w:rsidR="00323DB0" w:rsidRDefault="00323DB0">
            <w:pPr>
              <w:jc w:val="both"/>
            </w:pPr>
          </w:p>
          <w:p w:rsidR="00E15801" w:rsidRDefault="002605C3">
            <w:pPr>
              <w:jc w:val="both"/>
            </w:pPr>
            <w:r>
              <w:t>[</w:t>
            </w:r>
            <w:r>
              <w:rPr>
                <w:strike/>
              </w:rPr>
              <w:t>(2)</w:t>
            </w:r>
            <w:r>
              <w:t>]  three members who represent the public;</w:t>
            </w:r>
          </w:p>
          <w:p w:rsidR="00E15801" w:rsidRDefault="002605C3">
            <w:pPr>
              <w:jc w:val="both"/>
            </w:pPr>
            <w:r>
              <w:rPr>
                <w:u w:val="single"/>
              </w:rPr>
              <w:t xml:space="preserve">(2)  </w:t>
            </w:r>
            <w:r w:rsidRPr="00BA5C4A">
              <w:rPr>
                <w:highlight w:val="darkGray"/>
                <w:u w:val="single"/>
              </w:rPr>
              <w:t>three members</w:t>
            </w:r>
            <w:r w:rsidRPr="00BA5C4A">
              <w:rPr>
                <w:highlight w:val="darkGray"/>
              </w:rPr>
              <w:t xml:space="preserve"> [</w:t>
            </w:r>
            <w:r w:rsidRPr="00BA5C4A">
              <w:rPr>
                <w:strike/>
                <w:highlight w:val="darkGray"/>
              </w:rPr>
              <w:t>(3)  one member from an institution of higher education who is knowledgeable in the science of pests and pest control;</w:t>
            </w:r>
          </w:p>
          <w:p w:rsidR="00E15801" w:rsidRDefault="002605C3">
            <w:pPr>
              <w:jc w:val="both"/>
            </w:pPr>
            <w:r>
              <w:t>[</w:t>
            </w:r>
            <w:r>
              <w:rPr>
                <w:strike/>
              </w:rPr>
              <w:t xml:space="preserve">(4) </w:t>
            </w:r>
            <w:r w:rsidRPr="00C1674E">
              <w:rPr>
                <w:strike/>
              </w:rPr>
              <w:t>one member</w:t>
            </w:r>
            <w:r w:rsidRPr="00C1674E">
              <w:t>]</w:t>
            </w:r>
            <w:r>
              <w:t xml:space="preserve"> who </w:t>
            </w:r>
            <w:r>
              <w:rPr>
                <w:u w:val="single"/>
              </w:rPr>
              <w:t>represent</w:t>
            </w:r>
            <w:r>
              <w:t xml:space="preserve"> [</w:t>
            </w:r>
            <w:r>
              <w:rPr>
                <w:strike/>
              </w:rPr>
              <w:t>represents</w:t>
            </w:r>
            <w:r>
              <w:t xml:space="preserve">] the interests of structural pest control operators and who </w:t>
            </w:r>
            <w:r>
              <w:rPr>
                <w:u w:val="single"/>
              </w:rPr>
              <w:t>are</w:t>
            </w:r>
            <w:r>
              <w:t xml:space="preserve"> [</w:t>
            </w:r>
            <w:r>
              <w:rPr>
                <w:strike/>
              </w:rPr>
              <w:t>is</w:t>
            </w:r>
            <w:r>
              <w:t xml:space="preserve">] appointed based on recommendations provided by a trade association of operators; </w:t>
            </w:r>
            <w:r>
              <w:rPr>
                <w:u w:val="single"/>
              </w:rPr>
              <w:t>and</w:t>
            </w:r>
          </w:p>
          <w:p w:rsidR="00E15801" w:rsidRPr="00BA5C4A" w:rsidRDefault="002605C3">
            <w:pPr>
              <w:jc w:val="both"/>
              <w:rPr>
                <w:highlight w:val="darkGray"/>
              </w:rPr>
            </w:pPr>
            <w:r w:rsidRPr="00323DB0">
              <w:rPr>
                <w:u w:val="single"/>
              </w:rPr>
              <w:t xml:space="preserve">(3)  </w:t>
            </w:r>
            <w:r w:rsidRPr="00BA5C4A">
              <w:rPr>
                <w:highlight w:val="darkGray"/>
                <w:u w:val="single"/>
              </w:rPr>
              <w:t>three members</w:t>
            </w:r>
            <w:r w:rsidRPr="00BA5C4A">
              <w:rPr>
                <w:highlight w:val="darkGray"/>
              </w:rPr>
              <w:t xml:space="preserve"> [</w:t>
            </w:r>
            <w:r w:rsidRPr="00BA5C4A">
              <w:rPr>
                <w:strike/>
                <w:highlight w:val="darkGray"/>
              </w:rPr>
              <w:t>(5)  one member</w:t>
            </w:r>
            <w:r w:rsidRPr="00BA5C4A">
              <w:rPr>
                <w:highlight w:val="darkGray"/>
              </w:rPr>
              <w:t xml:space="preserve">] who </w:t>
            </w:r>
            <w:r w:rsidRPr="00BA5C4A">
              <w:rPr>
                <w:highlight w:val="darkGray"/>
                <w:u w:val="single"/>
              </w:rPr>
              <w:t>represent</w:t>
            </w:r>
            <w:r w:rsidRPr="00BA5C4A">
              <w:rPr>
                <w:highlight w:val="darkGray"/>
              </w:rPr>
              <w:t xml:space="preserve"> [</w:t>
            </w:r>
            <w:r w:rsidRPr="00BA5C4A">
              <w:rPr>
                <w:strike/>
                <w:highlight w:val="darkGray"/>
              </w:rPr>
              <w:t>represents</w:t>
            </w:r>
            <w:r w:rsidRPr="00BA5C4A">
              <w:rPr>
                <w:highlight w:val="darkGray"/>
              </w:rPr>
              <w:t xml:space="preserve">] the interests of </w:t>
            </w:r>
            <w:r w:rsidRPr="00BA5C4A">
              <w:rPr>
                <w:highlight w:val="darkGray"/>
                <w:u w:val="single"/>
              </w:rPr>
              <w:t>structural pest control operators and who are experienced in the area of integrated pest management programs in schools</w:t>
            </w:r>
            <w:r w:rsidRPr="00BA5C4A">
              <w:rPr>
                <w:highlight w:val="darkGray"/>
              </w:rPr>
              <w:t xml:space="preserve"> [</w:t>
            </w:r>
            <w:r w:rsidRPr="00BA5C4A">
              <w:rPr>
                <w:strike/>
                <w:highlight w:val="darkGray"/>
              </w:rPr>
              <w:t>consumers; and</w:t>
            </w:r>
          </w:p>
          <w:p w:rsidR="00E15801" w:rsidRDefault="002605C3">
            <w:pPr>
              <w:jc w:val="both"/>
            </w:pPr>
            <w:r w:rsidRPr="00BA5C4A">
              <w:rPr>
                <w:highlight w:val="darkGray"/>
              </w:rPr>
              <w:t>[</w:t>
            </w:r>
            <w:r w:rsidRPr="00BA5C4A">
              <w:rPr>
                <w:strike/>
                <w:highlight w:val="darkGray"/>
              </w:rPr>
              <w:t>(6)  the commissioner of state health services or the commissioner's designee</w:t>
            </w:r>
            <w:r w:rsidRPr="00BA5C4A">
              <w:rPr>
                <w:highlight w:val="darkGray"/>
              </w:rPr>
              <w:t>].</w:t>
            </w:r>
          </w:p>
          <w:p w:rsidR="00E15801" w:rsidRDefault="00E15801">
            <w:pPr>
              <w:jc w:val="both"/>
            </w:pPr>
          </w:p>
        </w:tc>
        <w:tc>
          <w:tcPr>
            <w:tcW w:w="6480" w:type="dxa"/>
          </w:tcPr>
          <w:p w:rsidR="00E15801" w:rsidRDefault="002605C3">
            <w:pPr>
              <w:jc w:val="both"/>
            </w:pPr>
            <w:r>
              <w:t>SECTION 1.  Sections 1951.101(a) and (b), Occupations Code, are amended to read as follows:</w:t>
            </w:r>
          </w:p>
          <w:p w:rsidR="00E15801" w:rsidRDefault="002605C3">
            <w:pPr>
              <w:jc w:val="both"/>
            </w:pPr>
            <w:r>
              <w:t xml:space="preserve">(a)  The committee consists of </w:t>
            </w:r>
            <w:r w:rsidRPr="00BA5C4A">
              <w:rPr>
                <w:highlight w:val="darkGray"/>
                <w:u w:val="single"/>
              </w:rPr>
              <w:t>11</w:t>
            </w:r>
            <w:r w:rsidRPr="00BA5C4A">
              <w:rPr>
                <w:highlight w:val="darkGray"/>
              </w:rPr>
              <w:t xml:space="preserve"> [</w:t>
            </w:r>
            <w:r w:rsidRPr="00BA5C4A">
              <w:rPr>
                <w:strike/>
                <w:highlight w:val="darkGray"/>
              </w:rPr>
              <w:t>nine</w:t>
            </w:r>
            <w:r w:rsidRPr="00BA5C4A">
              <w:rPr>
                <w:highlight w:val="darkGray"/>
              </w:rPr>
              <w:t>]</w:t>
            </w:r>
            <w:r>
              <w:t xml:space="preserve"> members appointed by the commissioner as follows:</w:t>
            </w:r>
          </w:p>
          <w:p w:rsidR="00E15801" w:rsidRDefault="002605C3">
            <w:pPr>
              <w:jc w:val="both"/>
            </w:pPr>
            <w:r>
              <w:t xml:space="preserve">(1)  </w:t>
            </w:r>
            <w:r w:rsidRPr="00BA5C4A">
              <w:rPr>
                <w:highlight w:val="darkGray"/>
                <w:u w:val="single"/>
              </w:rPr>
              <w:t>one member</w:t>
            </w:r>
            <w:r>
              <w:t xml:space="preserve"> [</w:t>
            </w:r>
            <w:r>
              <w:rPr>
                <w:strike/>
              </w:rPr>
              <w:t>two members</w:t>
            </w:r>
            <w:r>
              <w:t xml:space="preserve">] </w:t>
            </w:r>
            <w:r w:rsidRPr="00BA5C4A">
              <w:rPr>
                <w:highlight w:val="darkGray"/>
              </w:rPr>
              <w:t xml:space="preserve">who </w:t>
            </w:r>
            <w:r w:rsidRPr="00BA5C4A">
              <w:rPr>
                <w:highlight w:val="darkGray"/>
                <w:u w:val="single"/>
              </w:rPr>
              <w:t>is an employee of a school district and associated with a school integrated pest management program</w:t>
            </w:r>
            <w:r>
              <w:t xml:space="preserve"> [</w:t>
            </w:r>
            <w:r>
              <w:rPr>
                <w:strike/>
              </w:rPr>
              <w:t>are experts in structural pest control application</w:t>
            </w:r>
            <w:r>
              <w:t>];</w:t>
            </w:r>
          </w:p>
          <w:p w:rsidR="00E15801" w:rsidRDefault="002605C3">
            <w:pPr>
              <w:jc w:val="both"/>
            </w:pPr>
            <w:r>
              <w:t>(2)  three members who represent the public;</w:t>
            </w:r>
          </w:p>
          <w:p w:rsidR="00E15801" w:rsidRDefault="002605C3">
            <w:pPr>
              <w:jc w:val="both"/>
            </w:pPr>
            <w:r>
              <w:t xml:space="preserve">(3)  </w:t>
            </w:r>
            <w:r w:rsidRPr="00BA5C4A">
              <w:rPr>
                <w:highlight w:val="darkGray"/>
              </w:rPr>
              <w:t>one member from an institution of higher education who is knowledgeable in the science of pests and pest control;</w:t>
            </w:r>
          </w:p>
          <w:p w:rsidR="00323DB0" w:rsidRDefault="00323DB0">
            <w:pPr>
              <w:jc w:val="both"/>
            </w:pPr>
          </w:p>
          <w:p w:rsidR="00E15801" w:rsidRDefault="002605C3">
            <w:pPr>
              <w:jc w:val="both"/>
            </w:pPr>
            <w:r>
              <w:t xml:space="preserve">(4)  </w:t>
            </w:r>
            <w:r w:rsidRPr="00BA5C4A">
              <w:rPr>
                <w:highlight w:val="darkGray"/>
                <w:u w:val="single"/>
              </w:rPr>
              <w:t>three members</w:t>
            </w:r>
            <w:r w:rsidRPr="00BA5C4A">
              <w:rPr>
                <w:highlight w:val="darkGray"/>
              </w:rPr>
              <w:t xml:space="preserve"> </w:t>
            </w:r>
            <w:r w:rsidRPr="00C1674E">
              <w:t>[</w:t>
            </w:r>
            <w:r w:rsidRPr="00C1674E">
              <w:rPr>
                <w:strike/>
              </w:rPr>
              <w:t>one member</w:t>
            </w:r>
            <w:r w:rsidRPr="00C1674E">
              <w:t>]</w:t>
            </w:r>
            <w:r>
              <w:t xml:space="preserve"> who </w:t>
            </w:r>
            <w:r>
              <w:rPr>
                <w:u w:val="single"/>
              </w:rPr>
              <w:t>represent</w:t>
            </w:r>
            <w:r>
              <w:t xml:space="preserve"> [</w:t>
            </w:r>
            <w:r>
              <w:rPr>
                <w:strike/>
              </w:rPr>
              <w:t>represents</w:t>
            </w:r>
            <w:r>
              <w:t xml:space="preserve">] the interests of structural pest control operators and who </w:t>
            </w:r>
            <w:r>
              <w:rPr>
                <w:u w:val="single"/>
              </w:rPr>
              <w:t>are</w:t>
            </w:r>
            <w:r>
              <w:t xml:space="preserve"> [</w:t>
            </w:r>
            <w:r>
              <w:rPr>
                <w:strike/>
              </w:rPr>
              <w:t>is</w:t>
            </w:r>
            <w:r>
              <w:t>] appointed based on recommendations provided by a trade association of operators;</w:t>
            </w:r>
          </w:p>
          <w:p w:rsidR="00E15801" w:rsidRDefault="002605C3">
            <w:pPr>
              <w:jc w:val="both"/>
            </w:pPr>
            <w:r>
              <w:t xml:space="preserve">(5)  </w:t>
            </w:r>
            <w:r w:rsidRPr="00BA5C4A">
              <w:rPr>
                <w:highlight w:val="darkGray"/>
              </w:rPr>
              <w:t>one member who represents the interests of consumers; [</w:t>
            </w:r>
            <w:r w:rsidRPr="00BA5C4A">
              <w:rPr>
                <w:strike/>
                <w:highlight w:val="darkGray"/>
              </w:rPr>
              <w:t>and</w:t>
            </w:r>
            <w:r w:rsidRPr="00BA5C4A">
              <w:rPr>
                <w:highlight w:val="darkGray"/>
              </w:rPr>
              <w:t>]</w:t>
            </w:r>
          </w:p>
          <w:p w:rsidR="00323DB0" w:rsidRDefault="00323DB0">
            <w:pPr>
              <w:jc w:val="both"/>
            </w:pPr>
          </w:p>
          <w:p w:rsidR="00323DB0" w:rsidRDefault="00323DB0">
            <w:pPr>
              <w:jc w:val="both"/>
            </w:pPr>
          </w:p>
          <w:p w:rsidR="00E15801" w:rsidRDefault="002605C3">
            <w:pPr>
              <w:jc w:val="both"/>
            </w:pPr>
            <w:r w:rsidRPr="00BA5C4A">
              <w:rPr>
                <w:highlight w:val="darkGray"/>
              </w:rPr>
              <w:t>(6)  the commissioner of state health services or the commissioner's designee</w:t>
            </w:r>
            <w:r w:rsidRPr="00BA5C4A">
              <w:rPr>
                <w:highlight w:val="darkGray"/>
                <w:u w:val="single"/>
              </w:rPr>
              <w:t>; and</w:t>
            </w:r>
          </w:p>
          <w:p w:rsidR="00E15801" w:rsidRPr="00BA5C4A" w:rsidRDefault="002605C3">
            <w:pPr>
              <w:jc w:val="both"/>
              <w:rPr>
                <w:highlight w:val="darkGray"/>
              </w:rPr>
            </w:pPr>
            <w:r w:rsidRPr="00BA5C4A">
              <w:rPr>
                <w:highlight w:val="darkGray"/>
                <w:u w:val="single"/>
              </w:rPr>
              <w:t>(7)  one member who is a structural pest control operator with experience in natural, organic, or holistic pest control</w:t>
            </w:r>
            <w:r w:rsidRPr="00BA5C4A">
              <w:rPr>
                <w:highlight w:val="darkGray"/>
              </w:rPr>
              <w:t>.</w:t>
            </w:r>
          </w:p>
          <w:p w:rsidR="00E15801" w:rsidRDefault="002605C3">
            <w:pPr>
              <w:jc w:val="both"/>
            </w:pPr>
            <w:r w:rsidRPr="00BA5C4A">
              <w:rPr>
                <w:highlight w:val="darkGray"/>
              </w:rPr>
              <w:t>(b)  Members of the committee serve staggered four-year terms. The terms of [</w:t>
            </w:r>
            <w:r w:rsidRPr="00BA5C4A">
              <w:rPr>
                <w:strike/>
                <w:highlight w:val="darkGray"/>
              </w:rPr>
              <w:t>four or</w:t>
            </w:r>
            <w:r w:rsidRPr="00BA5C4A">
              <w:rPr>
                <w:highlight w:val="darkGray"/>
              </w:rPr>
              <w:t xml:space="preserve">] five </w:t>
            </w:r>
            <w:r w:rsidRPr="00BA5C4A">
              <w:rPr>
                <w:highlight w:val="darkGray"/>
                <w:u w:val="single"/>
              </w:rPr>
              <w:t>or six</w:t>
            </w:r>
            <w:r w:rsidRPr="00BA5C4A">
              <w:rPr>
                <w:highlight w:val="darkGray"/>
              </w:rPr>
              <w:t xml:space="preserve"> members, as appropriate, expire on February 1 of each odd-numbered year.</w:t>
            </w:r>
          </w:p>
        </w:tc>
        <w:tc>
          <w:tcPr>
            <w:tcW w:w="5760" w:type="dxa"/>
          </w:tcPr>
          <w:p w:rsidR="00E15801" w:rsidRDefault="00E15801">
            <w:pPr>
              <w:jc w:val="both"/>
            </w:pPr>
          </w:p>
        </w:tc>
      </w:tr>
      <w:tr w:rsidR="00E15801">
        <w:tc>
          <w:tcPr>
            <w:tcW w:w="6473" w:type="dxa"/>
          </w:tcPr>
          <w:p w:rsidR="00E15801" w:rsidRDefault="002605C3">
            <w:pPr>
              <w:jc w:val="both"/>
            </w:pPr>
            <w:r>
              <w:t>SECTION 2.  Section 1951.103(b), Occupations Code, is amended to read as follows:</w:t>
            </w:r>
          </w:p>
          <w:p w:rsidR="00E15801" w:rsidRDefault="002605C3">
            <w:pPr>
              <w:jc w:val="both"/>
            </w:pPr>
            <w:r>
              <w:t>(b)  A person may not be a member of the committee if:</w:t>
            </w:r>
          </w:p>
          <w:p w:rsidR="00E15801" w:rsidRDefault="002605C3">
            <w:pPr>
              <w:jc w:val="both"/>
            </w:pPr>
            <w:r>
              <w:t xml:space="preserve">(1)  the person is an officer, employee, or paid consultant of a </w:t>
            </w:r>
            <w:r>
              <w:lastRenderedPageBreak/>
              <w:t xml:space="preserve">Texas trade association in the field of pest control except as provided by Section </w:t>
            </w:r>
            <w:r>
              <w:rPr>
                <w:u w:val="single"/>
              </w:rPr>
              <w:t>1951.101(a)(2)</w:t>
            </w:r>
            <w:r>
              <w:t xml:space="preserve"> [</w:t>
            </w:r>
            <w:r>
              <w:rPr>
                <w:strike/>
              </w:rPr>
              <w:t>1951.101(a)(4)</w:t>
            </w:r>
            <w:r>
              <w:t>]; or</w:t>
            </w:r>
          </w:p>
          <w:p w:rsidR="00E15801" w:rsidRDefault="002605C3">
            <w:pPr>
              <w:jc w:val="both"/>
            </w:pPr>
            <w:r>
              <w:t>(2)  the person's spouse is an officer, manager, or paid consultant of a Texas trade association in the field of pest control.</w:t>
            </w:r>
          </w:p>
        </w:tc>
        <w:tc>
          <w:tcPr>
            <w:tcW w:w="6480" w:type="dxa"/>
          </w:tcPr>
          <w:p w:rsidR="00E15801" w:rsidRDefault="002605C3">
            <w:pPr>
              <w:jc w:val="both"/>
            </w:pPr>
            <w:r w:rsidRPr="00BA5C4A">
              <w:rPr>
                <w:highlight w:val="darkGray"/>
              </w:rPr>
              <w:lastRenderedPageBreak/>
              <w:t>No equivalent provision.</w:t>
            </w:r>
          </w:p>
          <w:p w:rsidR="00E15801" w:rsidRDefault="00E15801">
            <w:pPr>
              <w:jc w:val="both"/>
            </w:pPr>
          </w:p>
        </w:tc>
        <w:tc>
          <w:tcPr>
            <w:tcW w:w="5760" w:type="dxa"/>
          </w:tcPr>
          <w:p w:rsidR="00E15801" w:rsidRDefault="00E15801">
            <w:pPr>
              <w:jc w:val="both"/>
            </w:pPr>
          </w:p>
        </w:tc>
      </w:tr>
      <w:tr w:rsidR="00E15801">
        <w:tc>
          <w:tcPr>
            <w:tcW w:w="6473" w:type="dxa"/>
          </w:tcPr>
          <w:p w:rsidR="00E15801" w:rsidRDefault="002605C3">
            <w:pPr>
              <w:jc w:val="both"/>
            </w:pPr>
            <w:r>
              <w:lastRenderedPageBreak/>
              <w:t>SECTION 3.  Section 1951.101(c), Occupations Code, is repealed.</w:t>
            </w:r>
          </w:p>
        </w:tc>
        <w:tc>
          <w:tcPr>
            <w:tcW w:w="6480" w:type="dxa"/>
          </w:tcPr>
          <w:p w:rsidR="00E15801" w:rsidRDefault="002605C3">
            <w:pPr>
              <w:jc w:val="both"/>
            </w:pPr>
            <w:r w:rsidRPr="00BA5C4A">
              <w:rPr>
                <w:highlight w:val="darkGray"/>
              </w:rPr>
              <w:t>No equivalent provision.</w:t>
            </w:r>
          </w:p>
          <w:p w:rsidR="00E15801" w:rsidRDefault="00E15801">
            <w:pPr>
              <w:jc w:val="both"/>
            </w:pPr>
          </w:p>
        </w:tc>
        <w:tc>
          <w:tcPr>
            <w:tcW w:w="5760" w:type="dxa"/>
          </w:tcPr>
          <w:p w:rsidR="00E15801" w:rsidRDefault="00E15801">
            <w:pPr>
              <w:jc w:val="both"/>
            </w:pPr>
          </w:p>
        </w:tc>
      </w:tr>
      <w:tr w:rsidR="00E15801">
        <w:tc>
          <w:tcPr>
            <w:tcW w:w="6473" w:type="dxa"/>
          </w:tcPr>
          <w:p w:rsidR="00E15801" w:rsidRDefault="002605C3">
            <w:pPr>
              <w:jc w:val="both"/>
            </w:pPr>
            <w:r>
              <w:t>SECTION 4.  The changes in law made by this Act in the qualifications of members of the structural pest control advisory committee do not affect the entitlement of a member serving on the committee immediately before the effective date of this Act to continue to serve for the remainder of the member's term.  As the terms of committee members expire, the commissioner of agriculture shall appoint or reappoint a member who has the qualifications required for a member under Section 1951.101(a), Occupations Code, as amended by this Act.</w:t>
            </w:r>
          </w:p>
        </w:tc>
        <w:tc>
          <w:tcPr>
            <w:tcW w:w="6480" w:type="dxa"/>
          </w:tcPr>
          <w:p w:rsidR="00E15801" w:rsidRDefault="002605C3">
            <w:pPr>
              <w:jc w:val="both"/>
            </w:pPr>
            <w:r w:rsidRPr="00BA5C4A">
              <w:rPr>
                <w:highlight w:val="darkGray"/>
              </w:rPr>
              <w:t>No equivalent provision.</w:t>
            </w:r>
          </w:p>
          <w:p w:rsidR="00E15801" w:rsidRDefault="00E15801">
            <w:pPr>
              <w:jc w:val="both"/>
            </w:pPr>
          </w:p>
        </w:tc>
        <w:tc>
          <w:tcPr>
            <w:tcW w:w="5760" w:type="dxa"/>
          </w:tcPr>
          <w:p w:rsidR="00E15801" w:rsidRDefault="00E15801">
            <w:pPr>
              <w:jc w:val="both"/>
            </w:pPr>
          </w:p>
        </w:tc>
      </w:tr>
      <w:tr w:rsidR="00E15801">
        <w:tc>
          <w:tcPr>
            <w:tcW w:w="6473" w:type="dxa"/>
          </w:tcPr>
          <w:p w:rsidR="00E15801" w:rsidRDefault="002605C3">
            <w:pPr>
              <w:jc w:val="both"/>
            </w:pPr>
            <w:r w:rsidRPr="00BA5C4A">
              <w:rPr>
                <w:highlight w:val="darkGray"/>
              </w:rPr>
              <w:t>No equivalent provision.</w:t>
            </w:r>
          </w:p>
          <w:p w:rsidR="00E15801" w:rsidRDefault="00E15801">
            <w:pPr>
              <w:jc w:val="both"/>
            </w:pPr>
          </w:p>
        </w:tc>
        <w:tc>
          <w:tcPr>
            <w:tcW w:w="6480" w:type="dxa"/>
          </w:tcPr>
          <w:p w:rsidR="00E15801" w:rsidRDefault="002605C3">
            <w:pPr>
              <w:jc w:val="both"/>
            </w:pPr>
            <w:r>
              <w:t>SECTION 2.  (a)  On September 1, 2013, the terms of the members of the structural pest control advisory committee appointed under former Section 1951.101(a)(1), Occupations Code, expire.</w:t>
            </w:r>
          </w:p>
          <w:p w:rsidR="00E15801" w:rsidRDefault="002605C3">
            <w:pPr>
              <w:jc w:val="both"/>
            </w:pPr>
            <w:r>
              <w:t xml:space="preserve">(b)  Not later than October 1, 2013, the commissioner of agriculture shall appoint the new members of the structural pest control advisory committee necessary to ensure that the composition of the committee complies with Section 1951.101, Occupations Code, as amended by this Act, and designate the terms of those members to expire on February 1, 2015, or February 1, 2017, as appropriate, to ensure that the expiration of the terms complies with Section 1951.101(b), </w:t>
            </w:r>
            <w:r>
              <w:lastRenderedPageBreak/>
              <w:t>Occupations Code, as amended by this Act.</w:t>
            </w:r>
          </w:p>
        </w:tc>
        <w:tc>
          <w:tcPr>
            <w:tcW w:w="5760" w:type="dxa"/>
          </w:tcPr>
          <w:p w:rsidR="00E15801" w:rsidRDefault="00E15801">
            <w:pPr>
              <w:jc w:val="both"/>
            </w:pPr>
          </w:p>
        </w:tc>
      </w:tr>
      <w:tr w:rsidR="00E15801">
        <w:tc>
          <w:tcPr>
            <w:tcW w:w="6473" w:type="dxa"/>
          </w:tcPr>
          <w:p w:rsidR="00E15801" w:rsidRDefault="002605C3">
            <w:pPr>
              <w:jc w:val="both"/>
            </w:pPr>
            <w:r>
              <w:lastRenderedPageBreak/>
              <w:t xml:space="preserve">SECTION 5.  </w:t>
            </w:r>
            <w:r w:rsidRPr="00BA5C4A">
              <w:rPr>
                <w:highlight w:val="darkGray"/>
              </w:rPr>
              <w:t xml:space="preserve">This Act takes effect immediately if it receives a vote of two-thirds of all the members elected to each house, as provided by Section 39, Article III, Texas Constitution.  If this Act does not receive the vote necessary for immediate effect, </w:t>
            </w:r>
            <w:r w:rsidRPr="006F40AA">
              <w:t>this Act takes effect September 1, 2013.</w:t>
            </w:r>
          </w:p>
        </w:tc>
        <w:tc>
          <w:tcPr>
            <w:tcW w:w="6480" w:type="dxa"/>
          </w:tcPr>
          <w:p w:rsidR="00E15801" w:rsidRDefault="002605C3">
            <w:pPr>
              <w:jc w:val="both"/>
            </w:pPr>
            <w:r>
              <w:t xml:space="preserve">SECTION 3.  </w:t>
            </w:r>
            <w:r w:rsidRPr="006F40AA">
              <w:t>This Act takes effect September 1, 2013.</w:t>
            </w:r>
          </w:p>
          <w:p w:rsidR="00E15801" w:rsidRDefault="00E15801">
            <w:pPr>
              <w:jc w:val="both"/>
            </w:pPr>
          </w:p>
        </w:tc>
        <w:tc>
          <w:tcPr>
            <w:tcW w:w="5760" w:type="dxa"/>
          </w:tcPr>
          <w:p w:rsidR="00E15801" w:rsidRDefault="00E15801">
            <w:pPr>
              <w:jc w:val="both"/>
            </w:pPr>
          </w:p>
        </w:tc>
      </w:tr>
    </w:tbl>
    <w:p w:rsidR="007E77E5" w:rsidRDefault="007E77E5"/>
    <w:sectPr w:rsidR="007E77E5" w:rsidSect="00E1580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D4" w:rsidRDefault="00571FD4" w:rsidP="00E15801">
      <w:r>
        <w:separator/>
      </w:r>
    </w:p>
  </w:endnote>
  <w:endnote w:type="continuationSeparator" w:id="0">
    <w:p w:rsidR="00571FD4" w:rsidRDefault="00571FD4" w:rsidP="00E1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1" w:rsidRDefault="00690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01" w:rsidRDefault="00B6344E">
    <w:pPr>
      <w:tabs>
        <w:tab w:val="center" w:pos="9360"/>
        <w:tab w:val="right" w:pos="18720"/>
      </w:tabs>
    </w:pPr>
    <w:fldSimple w:instr=" DOCPROPERTY  CCRF  \* MERGEFORMAT ">
      <w:r w:rsidR="00BA5C4A">
        <w:t xml:space="preserve"> </w:t>
      </w:r>
    </w:fldSimple>
    <w:r w:rsidR="002605C3">
      <w:tab/>
    </w:r>
    <w:r w:rsidR="00E15801">
      <w:fldChar w:fldCharType="begin"/>
    </w:r>
    <w:r w:rsidR="002605C3">
      <w:instrText xml:space="preserve"> PAGE </w:instrText>
    </w:r>
    <w:r w:rsidR="00E15801">
      <w:fldChar w:fldCharType="separate"/>
    </w:r>
    <w:r w:rsidR="00646C3E">
      <w:rPr>
        <w:noProof/>
      </w:rPr>
      <w:t>1</w:t>
    </w:r>
    <w:r w:rsidR="00E15801">
      <w:fldChar w:fldCharType="end"/>
    </w:r>
    <w:r w:rsidR="002605C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1" w:rsidRDefault="00690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D4" w:rsidRDefault="00571FD4" w:rsidP="00E15801">
      <w:r>
        <w:separator/>
      </w:r>
    </w:p>
  </w:footnote>
  <w:footnote w:type="continuationSeparator" w:id="0">
    <w:p w:rsidR="00571FD4" w:rsidRDefault="00571FD4" w:rsidP="00E15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1" w:rsidRDefault="00690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1" w:rsidRDefault="00690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B1" w:rsidRDefault="00690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01"/>
    <w:rsid w:val="002605C3"/>
    <w:rsid w:val="002F1F8B"/>
    <w:rsid w:val="00323DB0"/>
    <w:rsid w:val="00571FD4"/>
    <w:rsid w:val="005A323F"/>
    <w:rsid w:val="00646C3E"/>
    <w:rsid w:val="006908B1"/>
    <w:rsid w:val="006F40AA"/>
    <w:rsid w:val="007E77E5"/>
    <w:rsid w:val="00B6344E"/>
    <w:rsid w:val="00BA5C4A"/>
    <w:rsid w:val="00C1674E"/>
    <w:rsid w:val="00E1580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B1"/>
    <w:pPr>
      <w:tabs>
        <w:tab w:val="center" w:pos="4680"/>
        <w:tab w:val="right" w:pos="9360"/>
      </w:tabs>
    </w:pPr>
  </w:style>
  <w:style w:type="character" w:customStyle="1" w:styleId="HeaderChar">
    <w:name w:val="Header Char"/>
    <w:link w:val="Header"/>
    <w:uiPriority w:val="99"/>
    <w:rsid w:val="006908B1"/>
    <w:rPr>
      <w:sz w:val="22"/>
    </w:rPr>
  </w:style>
  <w:style w:type="paragraph" w:styleId="Footer">
    <w:name w:val="footer"/>
    <w:basedOn w:val="Normal"/>
    <w:link w:val="FooterChar"/>
    <w:uiPriority w:val="99"/>
    <w:unhideWhenUsed/>
    <w:rsid w:val="006908B1"/>
    <w:pPr>
      <w:tabs>
        <w:tab w:val="center" w:pos="4680"/>
        <w:tab w:val="right" w:pos="9360"/>
      </w:tabs>
    </w:pPr>
  </w:style>
  <w:style w:type="character" w:customStyle="1" w:styleId="FooterChar">
    <w:name w:val="Footer Char"/>
    <w:link w:val="Footer"/>
    <w:uiPriority w:val="99"/>
    <w:rsid w:val="006908B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0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B1"/>
    <w:pPr>
      <w:tabs>
        <w:tab w:val="center" w:pos="4680"/>
        <w:tab w:val="right" w:pos="9360"/>
      </w:tabs>
    </w:pPr>
  </w:style>
  <w:style w:type="character" w:customStyle="1" w:styleId="HeaderChar">
    <w:name w:val="Header Char"/>
    <w:link w:val="Header"/>
    <w:uiPriority w:val="99"/>
    <w:rsid w:val="006908B1"/>
    <w:rPr>
      <w:sz w:val="22"/>
    </w:rPr>
  </w:style>
  <w:style w:type="paragraph" w:styleId="Footer">
    <w:name w:val="footer"/>
    <w:basedOn w:val="Normal"/>
    <w:link w:val="FooterChar"/>
    <w:uiPriority w:val="99"/>
    <w:unhideWhenUsed/>
    <w:rsid w:val="006908B1"/>
    <w:pPr>
      <w:tabs>
        <w:tab w:val="center" w:pos="4680"/>
        <w:tab w:val="right" w:pos="9360"/>
      </w:tabs>
    </w:pPr>
  </w:style>
  <w:style w:type="character" w:customStyle="1" w:styleId="FooterChar">
    <w:name w:val="Footer Char"/>
    <w:link w:val="Footer"/>
    <w:uiPriority w:val="99"/>
    <w:rsid w:val="006908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HB3567-SAA</vt:lpstr>
    </vt:vector>
  </TitlesOfParts>
  <Company>Texas Legislative Council</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HB3567-SAA</dc:title>
  <dc:creator>WKS</dc:creator>
  <cp:lastModifiedBy>WKS</cp:lastModifiedBy>
  <cp:revision>2</cp:revision>
  <dcterms:created xsi:type="dcterms:W3CDTF">2013-05-21T00:52:00Z</dcterms:created>
  <dcterms:modified xsi:type="dcterms:W3CDTF">2013-05-21T00:52:00Z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