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3035C" w:rsidTr="0053035C">
        <w:trPr>
          <w:cantSplit/>
          <w:tblHeader/>
        </w:trPr>
        <w:tc>
          <w:tcPr>
            <w:tcW w:w="18713" w:type="dxa"/>
            <w:gridSpan w:val="3"/>
          </w:tcPr>
          <w:p w:rsidR="00406D21" w:rsidRDefault="00FA697F">
            <w:pPr>
              <w:ind w:left="650"/>
              <w:jc w:val="center"/>
            </w:pPr>
            <w:bookmarkStart w:id="0" w:name="_GoBack"/>
            <w:bookmarkEnd w:id="0"/>
            <w:r>
              <w:rPr>
                <w:b/>
              </w:rPr>
              <w:t>House Bill  530</w:t>
            </w:r>
          </w:p>
          <w:p w:rsidR="00406D21" w:rsidRDefault="00FA697F">
            <w:pPr>
              <w:ind w:left="650"/>
              <w:jc w:val="center"/>
            </w:pPr>
            <w:r>
              <w:t>Senate Amendments</w:t>
            </w:r>
          </w:p>
          <w:p w:rsidR="00406D21" w:rsidRDefault="00FA697F">
            <w:pPr>
              <w:ind w:left="650"/>
              <w:jc w:val="center"/>
            </w:pPr>
            <w:r>
              <w:t>Section-by-Section Analysis</w:t>
            </w:r>
          </w:p>
          <w:p w:rsidR="00406D21" w:rsidRDefault="00406D21">
            <w:pPr>
              <w:jc w:val="center"/>
            </w:pPr>
          </w:p>
        </w:tc>
      </w:tr>
      <w:tr w:rsidR="00406D21">
        <w:trPr>
          <w:cantSplit/>
          <w:tblHeader/>
        </w:trPr>
        <w:tc>
          <w:tcPr>
            <w:tcW w:w="1667" w:type="pct"/>
            <w:tcMar>
              <w:bottom w:w="188" w:type="dxa"/>
              <w:right w:w="0" w:type="dxa"/>
            </w:tcMar>
          </w:tcPr>
          <w:p w:rsidR="00406D21" w:rsidRDefault="00FA697F">
            <w:pPr>
              <w:jc w:val="center"/>
            </w:pPr>
            <w:r>
              <w:t>HOUSE VERSION</w:t>
            </w:r>
          </w:p>
        </w:tc>
        <w:tc>
          <w:tcPr>
            <w:tcW w:w="1667" w:type="pct"/>
            <w:tcMar>
              <w:bottom w:w="188" w:type="dxa"/>
              <w:right w:w="0" w:type="dxa"/>
            </w:tcMar>
          </w:tcPr>
          <w:p w:rsidR="00406D21" w:rsidRDefault="00FA697F">
            <w:pPr>
              <w:jc w:val="center"/>
            </w:pPr>
            <w:r>
              <w:t>SENATE VERSION (CS)</w:t>
            </w:r>
          </w:p>
        </w:tc>
        <w:tc>
          <w:tcPr>
            <w:tcW w:w="1667" w:type="pct"/>
            <w:tcMar>
              <w:bottom w:w="188" w:type="dxa"/>
              <w:right w:w="0" w:type="dxa"/>
            </w:tcMar>
          </w:tcPr>
          <w:p w:rsidR="00406D21" w:rsidRDefault="00FA697F">
            <w:pPr>
              <w:jc w:val="center"/>
            </w:pPr>
            <w:r>
              <w:t>CONFERENCE</w:t>
            </w:r>
          </w:p>
        </w:tc>
      </w:tr>
      <w:tr w:rsidR="00406D21">
        <w:tc>
          <w:tcPr>
            <w:tcW w:w="6473" w:type="dxa"/>
          </w:tcPr>
          <w:p w:rsidR="00406D21" w:rsidRDefault="00FA697F">
            <w:pPr>
              <w:jc w:val="both"/>
            </w:pPr>
            <w:r>
              <w:t>SECTION 1.  Article 59.06, Code of Criminal Procedure, is amended by adding Subsections (r) and (s) to read as follows:</w:t>
            </w:r>
          </w:p>
          <w:p w:rsidR="00406D21" w:rsidRDefault="00FA697F">
            <w:pPr>
              <w:jc w:val="both"/>
            </w:pPr>
            <w:r>
              <w:rPr>
                <w:u w:val="single"/>
              </w:rPr>
              <w:t>(r)  As a specific exception to Subsection (c)(2), (3), or (4), a law enforcement agency may transfer not more than 10 percent of the gross amount credited to the agency's fund to a separate special fund established in the treasury of the political subdivision or maintained by the state law enforcement agency, as applicable.  The law enforcement agency shall administer the separate special fund.  Interest received from the investment of money in the fund shall be credited to the fund.  The agency may use money in the fund only to provide scholarships to children of peace officers who were employed by the agency or by another law enforcement agency with which the agency has overlapping geographic jurisdiction and who were killed in the line of duty. Scholarships under this subsection may be used only to pay the costs of attendance at an institution of higher education or private or independent institution of higher education, including tuition and fees and costs for housing, books, supplies, transportation, and other related personal expenses.  In this subsection, "institution of higher education" and "private or independent institution of higher education" have the meanings assigned by Section 61.003, Education Code.</w:t>
            </w:r>
          </w:p>
          <w:p w:rsidR="00406D21" w:rsidRDefault="00FA697F">
            <w:pPr>
              <w:jc w:val="both"/>
            </w:pPr>
            <w:r>
              <w:rPr>
                <w:u w:val="single"/>
              </w:rPr>
              <w:t xml:space="preserve">(s)  Not later than </w:t>
            </w:r>
            <w:r w:rsidRPr="00D85260">
              <w:rPr>
                <w:highlight w:val="lightGray"/>
                <w:u w:val="single"/>
              </w:rPr>
              <w:t>February 1</w:t>
            </w:r>
            <w:r>
              <w:rPr>
                <w:u w:val="single"/>
              </w:rPr>
              <w:t xml:space="preserve"> of each year, the attorney general shall develop a report based on information submitted by law enforcement agencies and attorneys representing the state under Subsection (g) detailing the total amount of funds forfeited, or credited after the sale of forfeited property, in this state in the preceding calendar year.  The attorney general shall maintain in a prominent location on the attorney general's publicly accessible Internet website a link to the most recent annual report developed under this subsection.</w:t>
            </w:r>
          </w:p>
          <w:p w:rsidR="00406D21" w:rsidRDefault="00406D21">
            <w:pPr>
              <w:jc w:val="both"/>
            </w:pPr>
          </w:p>
        </w:tc>
        <w:tc>
          <w:tcPr>
            <w:tcW w:w="6480" w:type="dxa"/>
          </w:tcPr>
          <w:p w:rsidR="00406D21" w:rsidRDefault="00FA697F">
            <w:pPr>
              <w:jc w:val="both"/>
            </w:pPr>
            <w:r>
              <w:lastRenderedPageBreak/>
              <w:t>SECTION 1.  Article 59.06, Code of Criminal Procedure, is amended by adding Subsections (r) and (s) to read as follows:</w:t>
            </w:r>
          </w:p>
          <w:p w:rsidR="00406D21" w:rsidRDefault="00FA697F">
            <w:pPr>
              <w:jc w:val="both"/>
            </w:pPr>
            <w:r>
              <w:rPr>
                <w:u w:val="single"/>
              </w:rPr>
              <w:t>(r)  As a specific exception to Subsection (c)(2), (3), or (4), a law enforcement agency may transfer not more than 10 percent of the gross amount credited to the agency's fund to a separate special fund established in the treasury of the political subdivision or maintained by the state law enforcement agency, as applicable.  The law enforcement agency shall administer the separate special fund.  Interest received from the investment of money in the fund shall be credited to the fund.  The agency may use money in the fund only to provide scholarships to children of peace officers who were employed by the agency or by another law enforcement agency with which the agency has overlapping geographic jurisdiction and who were killed in the line of duty.  Scholarships under this subsection may be used only to pay the costs of attendance at an institution of higher education or private or independent institution of higher education, including tuition and fees and costs for housing, books, supplies, transportation, and other related personal expenses.  In this subsection, "institution of higher education" and "private or independent institution of higher education" have the meanings assigned by Section 61.003, Education Code.</w:t>
            </w:r>
          </w:p>
          <w:p w:rsidR="00406D21" w:rsidRDefault="00FA697F">
            <w:pPr>
              <w:jc w:val="both"/>
            </w:pPr>
            <w:r>
              <w:rPr>
                <w:u w:val="single"/>
              </w:rPr>
              <w:t xml:space="preserve">(s)  Not later than </w:t>
            </w:r>
            <w:r w:rsidRPr="00D85260">
              <w:rPr>
                <w:highlight w:val="lightGray"/>
                <w:u w:val="single"/>
              </w:rPr>
              <w:t>April 30</w:t>
            </w:r>
            <w:r>
              <w:rPr>
                <w:u w:val="single"/>
              </w:rPr>
              <w:t xml:space="preserve"> of each year, the attorney general shall develop a report based on information submitted by law enforcement agencies and attorneys representing the state under Subsection (g) detailing the total amount of funds forfeited, or credited after the sale of forfeited property, in this state in the preceding calendar year.  The attorney general shall maintain in a prominent location on the attorney general's publicly accessible Internet website a link to the most recent annual report developed under this subsection.</w:t>
            </w:r>
          </w:p>
          <w:p w:rsidR="00406D21" w:rsidRDefault="00406D21">
            <w:pPr>
              <w:jc w:val="both"/>
            </w:pPr>
          </w:p>
        </w:tc>
        <w:tc>
          <w:tcPr>
            <w:tcW w:w="5760" w:type="dxa"/>
          </w:tcPr>
          <w:p w:rsidR="00406D21" w:rsidRDefault="00406D21">
            <w:pPr>
              <w:jc w:val="both"/>
            </w:pPr>
          </w:p>
        </w:tc>
      </w:tr>
      <w:tr w:rsidR="00406D21">
        <w:tc>
          <w:tcPr>
            <w:tcW w:w="6473" w:type="dxa"/>
          </w:tcPr>
          <w:p w:rsidR="00406D21" w:rsidRDefault="00FA697F">
            <w:pPr>
              <w:jc w:val="both"/>
            </w:pPr>
            <w:r>
              <w:lastRenderedPageBreak/>
              <w:t>SECTION 2.  This Act takes effect September 1, 2015.</w:t>
            </w:r>
          </w:p>
          <w:p w:rsidR="00406D21" w:rsidRDefault="00406D21">
            <w:pPr>
              <w:jc w:val="both"/>
            </w:pPr>
          </w:p>
        </w:tc>
        <w:tc>
          <w:tcPr>
            <w:tcW w:w="6480" w:type="dxa"/>
          </w:tcPr>
          <w:p w:rsidR="00406D21" w:rsidRDefault="00FA697F">
            <w:pPr>
              <w:jc w:val="both"/>
            </w:pPr>
            <w:r>
              <w:t>SECTION 2. Same as House version.</w:t>
            </w:r>
          </w:p>
          <w:p w:rsidR="00406D21" w:rsidRDefault="00406D21">
            <w:pPr>
              <w:jc w:val="both"/>
            </w:pPr>
          </w:p>
          <w:p w:rsidR="00406D21" w:rsidRDefault="00406D21">
            <w:pPr>
              <w:jc w:val="both"/>
            </w:pPr>
          </w:p>
        </w:tc>
        <w:tc>
          <w:tcPr>
            <w:tcW w:w="5760" w:type="dxa"/>
          </w:tcPr>
          <w:p w:rsidR="00406D21" w:rsidRDefault="00406D21">
            <w:pPr>
              <w:jc w:val="both"/>
            </w:pPr>
          </w:p>
        </w:tc>
      </w:tr>
    </w:tbl>
    <w:p w:rsidR="00D07028" w:rsidRDefault="00D07028"/>
    <w:sectPr w:rsidR="00D07028" w:rsidSect="00406D2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60" w:rsidRDefault="00D85260" w:rsidP="00406D21">
      <w:r>
        <w:separator/>
      </w:r>
    </w:p>
  </w:endnote>
  <w:endnote w:type="continuationSeparator" w:id="0">
    <w:p w:rsidR="00D85260" w:rsidRDefault="00D85260" w:rsidP="0040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86" w:rsidRDefault="00FA1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21" w:rsidRDefault="00705121">
    <w:pPr>
      <w:tabs>
        <w:tab w:val="center" w:pos="9360"/>
        <w:tab w:val="right" w:pos="18720"/>
      </w:tabs>
    </w:pPr>
    <w:fldSimple w:instr=" DOCPROPERTY  CCRF  \* MERGEFORMAT ">
      <w:r w:rsidR="00076823">
        <w:t xml:space="preserve"> </w:t>
      </w:r>
    </w:fldSimple>
    <w:r w:rsidR="00FA697F">
      <w:tab/>
    </w:r>
    <w:r w:rsidR="00406D21">
      <w:fldChar w:fldCharType="begin"/>
    </w:r>
    <w:r w:rsidR="00FA697F">
      <w:instrText xml:space="preserve"> PAGE </w:instrText>
    </w:r>
    <w:r w:rsidR="00406D21">
      <w:fldChar w:fldCharType="separate"/>
    </w:r>
    <w:r w:rsidR="0095659C">
      <w:rPr>
        <w:noProof/>
      </w:rPr>
      <w:t>1</w:t>
    </w:r>
    <w:r w:rsidR="00406D21">
      <w:fldChar w:fldCharType="end"/>
    </w:r>
    <w:r w:rsidR="00FA697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86" w:rsidRDefault="00FA1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60" w:rsidRDefault="00D85260" w:rsidP="00406D21">
      <w:r>
        <w:separator/>
      </w:r>
    </w:p>
  </w:footnote>
  <w:footnote w:type="continuationSeparator" w:id="0">
    <w:p w:rsidR="00D85260" w:rsidRDefault="00D85260" w:rsidP="0040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86" w:rsidRDefault="00FA1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86" w:rsidRDefault="00FA1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86" w:rsidRDefault="00FA1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21"/>
    <w:rsid w:val="00076823"/>
    <w:rsid w:val="0028579D"/>
    <w:rsid w:val="00406D21"/>
    <w:rsid w:val="0053035C"/>
    <w:rsid w:val="006B470A"/>
    <w:rsid w:val="00705121"/>
    <w:rsid w:val="00951ADB"/>
    <w:rsid w:val="0095659C"/>
    <w:rsid w:val="00D07028"/>
    <w:rsid w:val="00D85260"/>
    <w:rsid w:val="00DA6080"/>
    <w:rsid w:val="00FA1586"/>
    <w:rsid w:val="00FA697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2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86"/>
    <w:pPr>
      <w:tabs>
        <w:tab w:val="center" w:pos="4680"/>
        <w:tab w:val="right" w:pos="9360"/>
      </w:tabs>
    </w:pPr>
  </w:style>
  <w:style w:type="character" w:customStyle="1" w:styleId="HeaderChar">
    <w:name w:val="Header Char"/>
    <w:link w:val="Header"/>
    <w:uiPriority w:val="99"/>
    <w:rsid w:val="00FA1586"/>
    <w:rPr>
      <w:sz w:val="22"/>
    </w:rPr>
  </w:style>
  <w:style w:type="paragraph" w:styleId="Footer">
    <w:name w:val="footer"/>
    <w:basedOn w:val="Normal"/>
    <w:link w:val="FooterChar"/>
    <w:uiPriority w:val="99"/>
    <w:unhideWhenUsed/>
    <w:rsid w:val="00FA1586"/>
    <w:pPr>
      <w:tabs>
        <w:tab w:val="center" w:pos="4680"/>
        <w:tab w:val="right" w:pos="9360"/>
      </w:tabs>
    </w:pPr>
  </w:style>
  <w:style w:type="character" w:customStyle="1" w:styleId="FooterChar">
    <w:name w:val="Footer Char"/>
    <w:link w:val="Footer"/>
    <w:uiPriority w:val="99"/>
    <w:rsid w:val="00FA158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2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86"/>
    <w:pPr>
      <w:tabs>
        <w:tab w:val="center" w:pos="4680"/>
        <w:tab w:val="right" w:pos="9360"/>
      </w:tabs>
    </w:pPr>
  </w:style>
  <w:style w:type="character" w:customStyle="1" w:styleId="HeaderChar">
    <w:name w:val="Header Char"/>
    <w:link w:val="Header"/>
    <w:uiPriority w:val="99"/>
    <w:rsid w:val="00FA1586"/>
    <w:rPr>
      <w:sz w:val="22"/>
    </w:rPr>
  </w:style>
  <w:style w:type="paragraph" w:styleId="Footer">
    <w:name w:val="footer"/>
    <w:basedOn w:val="Normal"/>
    <w:link w:val="FooterChar"/>
    <w:uiPriority w:val="99"/>
    <w:unhideWhenUsed/>
    <w:rsid w:val="00FA1586"/>
    <w:pPr>
      <w:tabs>
        <w:tab w:val="center" w:pos="4680"/>
        <w:tab w:val="right" w:pos="9360"/>
      </w:tabs>
    </w:pPr>
  </w:style>
  <w:style w:type="character" w:customStyle="1" w:styleId="FooterChar">
    <w:name w:val="Footer Char"/>
    <w:link w:val="Footer"/>
    <w:uiPriority w:val="99"/>
    <w:rsid w:val="00FA15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HB530-SAA</vt:lpstr>
    </vt:vector>
  </TitlesOfParts>
  <Company>Texas Legislative Council</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HB530-SAA</dc:title>
  <dc:creator>BTF</dc:creator>
  <cp:lastModifiedBy>BTF</cp:lastModifiedBy>
  <cp:revision>2</cp:revision>
  <dcterms:created xsi:type="dcterms:W3CDTF">2015-05-26T20:21:00Z</dcterms:created>
  <dcterms:modified xsi:type="dcterms:W3CDTF">2015-05-26T20:21:00Z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