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1D4E43" w:rsidTr="001D4E43">
        <w:trPr>
          <w:cantSplit/>
          <w:tblHeader/>
        </w:trPr>
        <w:tc>
          <w:tcPr>
            <w:tcW w:w="18713" w:type="dxa"/>
            <w:gridSpan w:val="3"/>
          </w:tcPr>
          <w:p w:rsidR="00A20549" w:rsidRDefault="00AF7156">
            <w:pPr>
              <w:ind w:left="650"/>
              <w:jc w:val="center"/>
            </w:pPr>
            <w:bookmarkStart w:id="0" w:name="_GoBack"/>
            <w:bookmarkEnd w:id="0"/>
            <w:r>
              <w:rPr>
                <w:b/>
              </w:rPr>
              <w:t>House Bill  885</w:t>
            </w:r>
          </w:p>
          <w:p w:rsidR="00A20549" w:rsidRDefault="00AF7156">
            <w:pPr>
              <w:ind w:left="650"/>
              <w:jc w:val="center"/>
            </w:pPr>
            <w:r>
              <w:t>Senate Amendments</w:t>
            </w:r>
          </w:p>
          <w:p w:rsidR="00A20549" w:rsidRDefault="00AF7156">
            <w:pPr>
              <w:ind w:left="650"/>
              <w:jc w:val="center"/>
            </w:pPr>
            <w:r>
              <w:t>Section-by-Section Analysis</w:t>
            </w:r>
          </w:p>
          <w:p w:rsidR="00A20549" w:rsidRDefault="00A20549">
            <w:pPr>
              <w:jc w:val="center"/>
            </w:pPr>
          </w:p>
        </w:tc>
      </w:tr>
      <w:tr w:rsidR="00A20549">
        <w:trPr>
          <w:cantSplit/>
          <w:tblHeader/>
        </w:trPr>
        <w:tc>
          <w:tcPr>
            <w:tcW w:w="1667" w:type="pct"/>
            <w:tcMar>
              <w:bottom w:w="188" w:type="dxa"/>
              <w:right w:w="0" w:type="dxa"/>
            </w:tcMar>
          </w:tcPr>
          <w:p w:rsidR="00A20549" w:rsidRDefault="00AF7156">
            <w:pPr>
              <w:jc w:val="center"/>
            </w:pPr>
            <w:r>
              <w:t>HOUSE VERSION</w:t>
            </w:r>
          </w:p>
        </w:tc>
        <w:tc>
          <w:tcPr>
            <w:tcW w:w="1667" w:type="pct"/>
            <w:tcMar>
              <w:bottom w:w="188" w:type="dxa"/>
              <w:right w:w="0" w:type="dxa"/>
            </w:tcMar>
          </w:tcPr>
          <w:p w:rsidR="00A20549" w:rsidRDefault="00AF7156">
            <w:pPr>
              <w:jc w:val="center"/>
            </w:pPr>
            <w:r>
              <w:t>SENATE VERSION (CS)</w:t>
            </w:r>
          </w:p>
        </w:tc>
        <w:tc>
          <w:tcPr>
            <w:tcW w:w="1667" w:type="pct"/>
            <w:tcMar>
              <w:bottom w:w="188" w:type="dxa"/>
              <w:right w:w="0" w:type="dxa"/>
            </w:tcMar>
          </w:tcPr>
          <w:p w:rsidR="00A20549" w:rsidRDefault="00AF7156">
            <w:pPr>
              <w:jc w:val="center"/>
            </w:pPr>
            <w:r>
              <w:t>CONFERENCE</w:t>
            </w:r>
          </w:p>
        </w:tc>
      </w:tr>
      <w:tr w:rsidR="00A20549">
        <w:tc>
          <w:tcPr>
            <w:tcW w:w="6473" w:type="dxa"/>
          </w:tcPr>
          <w:p w:rsidR="00A20549" w:rsidRDefault="00AF7156">
            <w:pPr>
              <w:jc w:val="both"/>
            </w:pPr>
            <w:r>
              <w:t>SECTION 1.  Section 1704.055(c), Occupations Code, is amended to read as follows:</w:t>
            </w:r>
          </w:p>
          <w:p w:rsidR="00A20549" w:rsidRDefault="00AF7156">
            <w:pPr>
              <w:jc w:val="both"/>
            </w:pPr>
            <w:r>
              <w:t xml:space="preserve">(c)  A board in a county with a population of less than </w:t>
            </w:r>
            <w:r>
              <w:rPr>
                <w:u w:val="single"/>
              </w:rPr>
              <w:t>150,000</w:t>
            </w:r>
            <w:r>
              <w:t xml:space="preserve"> [</w:t>
            </w:r>
            <w:r>
              <w:rPr>
                <w:strike/>
              </w:rPr>
              <w:t>50,000</w:t>
            </w:r>
            <w:r>
              <w:t>] shall meet</w:t>
            </w:r>
            <w:r>
              <w:rPr>
                <w:u w:val="single"/>
              </w:rPr>
              <w:t>:</w:t>
            </w:r>
          </w:p>
          <w:p w:rsidR="00A20549" w:rsidRDefault="00AF7156">
            <w:pPr>
              <w:jc w:val="both"/>
            </w:pPr>
            <w:r>
              <w:rPr>
                <w:u w:val="single"/>
              </w:rPr>
              <w:t>(1)</w:t>
            </w:r>
            <w:r>
              <w:t xml:space="preserve">  at least four times each year during the months of January, April, July, and October at the call of the presiding officer</w:t>
            </w:r>
            <w:r>
              <w:rPr>
                <w:u w:val="single"/>
              </w:rPr>
              <w:t>; and</w:t>
            </w:r>
          </w:p>
          <w:p w:rsidR="00A20549" w:rsidRDefault="00AF7156">
            <w:pPr>
              <w:jc w:val="both"/>
            </w:pPr>
            <w:r>
              <w:rPr>
                <w:u w:val="single"/>
              </w:rPr>
              <w:t>(2)  at other times at the call of the presiding officer</w:t>
            </w:r>
            <w:r>
              <w:t>.</w:t>
            </w:r>
          </w:p>
          <w:p w:rsidR="00A20549" w:rsidRDefault="00A20549">
            <w:pPr>
              <w:jc w:val="both"/>
            </w:pPr>
          </w:p>
        </w:tc>
        <w:tc>
          <w:tcPr>
            <w:tcW w:w="6480" w:type="dxa"/>
          </w:tcPr>
          <w:p w:rsidR="00A20549" w:rsidRDefault="00AF7156">
            <w:pPr>
              <w:jc w:val="both"/>
            </w:pPr>
            <w:r>
              <w:t>SECTION 1. Same as House version.</w:t>
            </w:r>
          </w:p>
          <w:p w:rsidR="00A20549" w:rsidRDefault="00A20549">
            <w:pPr>
              <w:jc w:val="both"/>
            </w:pPr>
          </w:p>
          <w:p w:rsidR="00A20549" w:rsidRDefault="00A20549">
            <w:pPr>
              <w:jc w:val="both"/>
            </w:pPr>
          </w:p>
        </w:tc>
        <w:tc>
          <w:tcPr>
            <w:tcW w:w="5760" w:type="dxa"/>
          </w:tcPr>
          <w:p w:rsidR="00A20549" w:rsidRDefault="00A20549">
            <w:pPr>
              <w:jc w:val="both"/>
            </w:pPr>
          </w:p>
        </w:tc>
      </w:tr>
      <w:tr w:rsidR="00A20549">
        <w:tc>
          <w:tcPr>
            <w:tcW w:w="6473" w:type="dxa"/>
          </w:tcPr>
          <w:p w:rsidR="00A20549" w:rsidRDefault="00AF7156">
            <w:pPr>
              <w:jc w:val="both"/>
            </w:pPr>
            <w:r>
              <w:t>SECTION 2.  Section 1704.162, Occupations Code, is amended by adding Subsection (h) to read as follows:</w:t>
            </w:r>
          </w:p>
          <w:p w:rsidR="00A20549" w:rsidRDefault="00AF7156">
            <w:pPr>
              <w:jc w:val="both"/>
            </w:pPr>
            <w:r>
              <w:rPr>
                <w:u w:val="single"/>
              </w:rPr>
              <w:t xml:space="preserve">(h)  Notwithstanding the expiration date of a license issued under this chapter, if </w:t>
            </w:r>
            <w:r w:rsidRPr="001D4E43">
              <w:rPr>
                <w:highlight w:val="lightGray"/>
                <w:u w:val="single"/>
              </w:rPr>
              <w:t>the</w:t>
            </w:r>
            <w:r>
              <w:rPr>
                <w:u w:val="single"/>
              </w:rPr>
              <w:t xml:space="preserve"> board tables </w:t>
            </w:r>
            <w:r w:rsidRPr="001D4E43">
              <w:rPr>
                <w:highlight w:val="lightGray"/>
                <w:u w:val="single"/>
              </w:rPr>
              <w:t>the</w:t>
            </w:r>
            <w:r>
              <w:rPr>
                <w:u w:val="single"/>
              </w:rPr>
              <w:t xml:space="preserve"> license holder's application for renewal or otherwise does not take action to approve or deny the application, the applicant's current license continues in effect until the next meeting of the board.</w:t>
            </w:r>
          </w:p>
          <w:p w:rsidR="00A20549" w:rsidRDefault="00A20549">
            <w:pPr>
              <w:jc w:val="both"/>
            </w:pPr>
          </w:p>
        </w:tc>
        <w:tc>
          <w:tcPr>
            <w:tcW w:w="6480" w:type="dxa"/>
          </w:tcPr>
          <w:p w:rsidR="00A20549" w:rsidRDefault="00AF7156">
            <w:pPr>
              <w:jc w:val="both"/>
            </w:pPr>
            <w:r>
              <w:t>SECTION 2.  Section 1704.162, Occupations Code, is amended by adding Subsection (h) to read as follows:</w:t>
            </w:r>
          </w:p>
          <w:p w:rsidR="00A20549" w:rsidRDefault="00AF7156">
            <w:pPr>
              <w:jc w:val="both"/>
            </w:pPr>
            <w:r>
              <w:rPr>
                <w:u w:val="single"/>
              </w:rPr>
              <w:t xml:space="preserve">(h)  Notwithstanding the expiration date of a license issued under this chapter, if </w:t>
            </w:r>
            <w:r w:rsidRPr="001D4E43">
              <w:rPr>
                <w:highlight w:val="lightGray"/>
                <w:u w:val="single"/>
              </w:rPr>
              <w:t>a</w:t>
            </w:r>
            <w:r>
              <w:rPr>
                <w:u w:val="single"/>
              </w:rPr>
              <w:t xml:space="preserve"> board </w:t>
            </w:r>
            <w:r w:rsidRPr="001D4E43">
              <w:rPr>
                <w:highlight w:val="lightGray"/>
                <w:u w:val="single"/>
              </w:rPr>
              <w:t>to which Section 1704.055(c) applies</w:t>
            </w:r>
            <w:r>
              <w:rPr>
                <w:u w:val="single"/>
              </w:rPr>
              <w:t xml:space="preserve"> tables </w:t>
            </w:r>
            <w:r w:rsidRPr="001D4E43">
              <w:rPr>
                <w:highlight w:val="lightGray"/>
                <w:u w:val="single"/>
              </w:rPr>
              <w:t>a</w:t>
            </w:r>
            <w:r>
              <w:rPr>
                <w:u w:val="single"/>
              </w:rPr>
              <w:t xml:space="preserve"> license holder's application for renewal or otherwise does not take action to approve or deny the application, the applicant's current license continues in effect until the next meeting of the board.</w:t>
            </w:r>
          </w:p>
          <w:p w:rsidR="00A20549" w:rsidRDefault="00A20549">
            <w:pPr>
              <w:jc w:val="both"/>
            </w:pPr>
          </w:p>
        </w:tc>
        <w:tc>
          <w:tcPr>
            <w:tcW w:w="5760" w:type="dxa"/>
          </w:tcPr>
          <w:p w:rsidR="00A20549" w:rsidRDefault="00A20549">
            <w:pPr>
              <w:jc w:val="both"/>
            </w:pPr>
          </w:p>
        </w:tc>
      </w:tr>
      <w:tr w:rsidR="00A20549">
        <w:tc>
          <w:tcPr>
            <w:tcW w:w="6473" w:type="dxa"/>
          </w:tcPr>
          <w:p w:rsidR="00A20549" w:rsidRDefault="00AF7156">
            <w:pPr>
              <w:jc w:val="both"/>
            </w:pPr>
            <w:r>
              <w:t>SECTION 3.  Section 1704.162(h), Occupations Code, as added by this Act, applies only to an application for renewal of a license filed with a county bail bond board on or after the effective date of this Act.  An application filed before that date is governed by the law in effect at the time the application was filed, and the former law is continued in effect for that purpose.</w:t>
            </w:r>
          </w:p>
          <w:p w:rsidR="00A20549" w:rsidRDefault="00A20549">
            <w:pPr>
              <w:jc w:val="both"/>
            </w:pPr>
          </w:p>
        </w:tc>
        <w:tc>
          <w:tcPr>
            <w:tcW w:w="6480" w:type="dxa"/>
          </w:tcPr>
          <w:p w:rsidR="00A20549" w:rsidRDefault="00AF7156">
            <w:pPr>
              <w:jc w:val="both"/>
            </w:pPr>
            <w:r>
              <w:t>SECTION 3. Same as House version.</w:t>
            </w:r>
          </w:p>
          <w:p w:rsidR="00A20549" w:rsidRDefault="00A20549">
            <w:pPr>
              <w:jc w:val="both"/>
            </w:pPr>
          </w:p>
          <w:p w:rsidR="00A20549" w:rsidRDefault="00A20549">
            <w:pPr>
              <w:jc w:val="both"/>
            </w:pPr>
          </w:p>
        </w:tc>
        <w:tc>
          <w:tcPr>
            <w:tcW w:w="5760" w:type="dxa"/>
          </w:tcPr>
          <w:p w:rsidR="00A20549" w:rsidRDefault="00A20549">
            <w:pPr>
              <w:jc w:val="both"/>
            </w:pPr>
          </w:p>
        </w:tc>
      </w:tr>
      <w:tr w:rsidR="00A20549">
        <w:tc>
          <w:tcPr>
            <w:tcW w:w="6473" w:type="dxa"/>
          </w:tcPr>
          <w:p w:rsidR="00A20549" w:rsidRDefault="00AF7156">
            <w:pPr>
              <w:jc w:val="both"/>
            </w:pPr>
            <w:r>
              <w:t>SECTION 4.  This Act takes effect September 1, 2015.</w:t>
            </w:r>
          </w:p>
          <w:p w:rsidR="00A20549" w:rsidRDefault="00A20549">
            <w:pPr>
              <w:jc w:val="both"/>
            </w:pPr>
          </w:p>
        </w:tc>
        <w:tc>
          <w:tcPr>
            <w:tcW w:w="6480" w:type="dxa"/>
          </w:tcPr>
          <w:p w:rsidR="00A20549" w:rsidRDefault="00AF7156">
            <w:pPr>
              <w:jc w:val="both"/>
            </w:pPr>
            <w:r>
              <w:t>SECTION 4. Same as House version.</w:t>
            </w:r>
          </w:p>
          <w:p w:rsidR="00A20549" w:rsidRDefault="00A20549">
            <w:pPr>
              <w:jc w:val="both"/>
            </w:pPr>
          </w:p>
          <w:p w:rsidR="00A20549" w:rsidRDefault="00A20549">
            <w:pPr>
              <w:jc w:val="both"/>
            </w:pPr>
          </w:p>
        </w:tc>
        <w:tc>
          <w:tcPr>
            <w:tcW w:w="5760" w:type="dxa"/>
          </w:tcPr>
          <w:p w:rsidR="00A20549" w:rsidRDefault="00A20549">
            <w:pPr>
              <w:jc w:val="both"/>
            </w:pPr>
          </w:p>
        </w:tc>
      </w:tr>
    </w:tbl>
    <w:p w:rsidR="00E13E3E" w:rsidRDefault="00E13E3E"/>
    <w:sectPr w:rsidR="00E13E3E" w:rsidSect="00A20549">
      <w:footerReference w:type="default" r:id="rId7"/>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549" w:rsidRDefault="00A20549" w:rsidP="00A20549">
      <w:r>
        <w:separator/>
      </w:r>
    </w:p>
  </w:endnote>
  <w:endnote w:type="continuationSeparator" w:id="0">
    <w:p w:rsidR="00A20549" w:rsidRDefault="00A20549" w:rsidP="00A2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549" w:rsidRDefault="00AF7156">
    <w:pPr>
      <w:tabs>
        <w:tab w:val="center" w:pos="9360"/>
        <w:tab w:val="right" w:pos="18720"/>
      </w:tabs>
    </w:pPr>
    <w:r>
      <w:tab/>
    </w:r>
    <w:r w:rsidR="00A20549">
      <w:fldChar w:fldCharType="begin"/>
    </w:r>
    <w:r>
      <w:instrText xml:space="preserve"> PAGE </w:instrText>
    </w:r>
    <w:r w:rsidR="00A20549">
      <w:fldChar w:fldCharType="separate"/>
    </w:r>
    <w:r w:rsidR="00A40441">
      <w:rPr>
        <w:noProof/>
      </w:rPr>
      <w:t>1</w:t>
    </w:r>
    <w:r w:rsidR="00A20549">
      <w:fldChar w:fldCharType="end"/>
    </w:r>
    <w:r>
      <w:tab/>
    </w:r>
    <w:fldSimple w:instr=" DOCPROPERTY  OTID  \* MERGEFORMAT ">
      <w:r w:rsidR="00F709C1">
        <w:t>15.146.1087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549" w:rsidRDefault="00A20549" w:rsidP="00A20549">
      <w:r>
        <w:separator/>
      </w:r>
    </w:p>
  </w:footnote>
  <w:footnote w:type="continuationSeparator" w:id="0">
    <w:p w:rsidR="00A20549" w:rsidRDefault="00A20549" w:rsidP="00A20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549"/>
    <w:rsid w:val="001D4E43"/>
    <w:rsid w:val="00884D3F"/>
    <w:rsid w:val="00A20549"/>
    <w:rsid w:val="00A40441"/>
    <w:rsid w:val="00AF7156"/>
    <w:rsid w:val="00E13E3E"/>
    <w:rsid w:val="00E24FC9"/>
    <w:rsid w:val="00F709C1"/>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54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9C1"/>
    <w:pPr>
      <w:tabs>
        <w:tab w:val="center" w:pos="4680"/>
        <w:tab w:val="right" w:pos="9360"/>
      </w:tabs>
    </w:pPr>
  </w:style>
  <w:style w:type="character" w:customStyle="1" w:styleId="HeaderChar">
    <w:name w:val="Header Char"/>
    <w:basedOn w:val="DefaultParagraphFont"/>
    <w:link w:val="Header"/>
    <w:uiPriority w:val="99"/>
    <w:rsid w:val="00F709C1"/>
    <w:rPr>
      <w:sz w:val="22"/>
    </w:rPr>
  </w:style>
  <w:style w:type="paragraph" w:styleId="Footer">
    <w:name w:val="footer"/>
    <w:basedOn w:val="Normal"/>
    <w:link w:val="FooterChar"/>
    <w:uiPriority w:val="99"/>
    <w:unhideWhenUsed/>
    <w:rsid w:val="00F709C1"/>
    <w:pPr>
      <w:tabs>
        <w:tab w:val="center" w:pos="4680"/>
        <w:tab w:val="right" w:pos="9360"/>
      </w:tabs>
    </w:pPr>
  </w:style>
  <w:style w:type="character" w:customStyle="1" w:styleId="FooterChar">
    <w:name w:val="Footer Char"/>
    <w:basedOn w:val="DefaultParagraphFont"/>
    <w:link w:val="Footer"/>
    <w:uiPriority w:val="99"/>
    <w:rsid w:val="00F709C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54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9C1"/>
    <w:pPr>
      <w:tabs>
        <w:tab w:val="center" w:pos="4680"/>
        <w:tab w:val="right" w:pos="9360"/>
      </w:tabs>
    </w:pPr>
  </w:style>
  <w:style w:type="character" w:customStyle="1" w:styleId="HeaderChar">
    <w:name w:val="Header Char"/>
    <w:basedOn w:val="DefaultParagraphFont"/>
    <w:link w:val="Header"/>
    <w:uiPriority w:val="99"/>
    <w:rsid w:val="00F709C1"/>
    <w:rPr>
      <w:sz w:val="22"/>
    </w:rPr>
  </w:style>
  <w:style w:type="paragraph" w:styleId="Footer">
    <w:name w:val="footer"/>
    <w:basedOn w:val="Normal"/>
    <w:link w:val="FooterChar"/>
    <w:uiPriority w:val="99"/>
    <w:unhideWhenUsed/>
    <w:rsid w:val="00F709C1"/>
    <w:pPr>
      <w:tabs>
        <w:tab w:val="center" w:pos="4680"/>
        <w:tab w:val="right" w:pos="9360"/>
      </w:tabs>
    </w:pPr>
  </w:style>
  <w:style w:type="character" w:customStyle="1" w:styleId="FooterChar">
    <w:name w:val="Footer Char"/>
    <w:basedOn w:val="DefaultParagraphFont"/>
    <w:link w:val="Footer"/>
    <w:uiPriority w:val="99"/>
    <w:rsid w:val="00F709C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HB885-SAA</vt:lpstr>
    </vt:vector>
  </TitlesOfParts>
  <Company>Texas Legislative Council</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HB885-SAA</dc:title>
  <dc:creator>ERC</dc:creator>
  <cp:lastModifiedBy>ALO</cp:lastModifiedBy>
  <cp:revision>2</cp:revision>
  <dcterms:created xsi:type="dcterms:W3CDTF">2015-05-27T03:14:00Z</dcterms:created>
  <dcterms:modified xsi:type="dcterms:W3CDTF">2015-05-27T03:14:00Z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15.146.1087</vt:lpwstr>
  </property>
  <property fmtid="{D5CDD505-2E9C-101B-9397-08002B2CF9AE}" pid="3" name="CCRF">
    <vt:lpwstr> </vt:lpwstr>
  </property>
</Properties>
</file>