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33424A" w:rsidTr="0033424A">
        <w:trPr>
          <w:cantSplit/>
          <w:tblHeader/>
        </w:trPr>
        <w:tc>
          <w:tcPr>
            <w:tcW w:w="18713" w:type="dxa"/>
            <w:gridSpan w:val="3"/>
          </w:tcPr>
          <w:p w:rsidR="008111E3" w:rsidRDefault="003F4FFF">
            <w:pPr>
              <w:ind w:left="650"/>
              <w:jc w:val="center"/>
            </w:pPr>
            <w:bookmarkStart w:id="0" w:name="_GoBack"/>
            <w:bookmarkEnd w:id="0"/>
            <w:r>
              <w:rPr>
                <w:b/>
              </w:rPr>
              <w:t>House Bill  2152</w:t>
            </w:r>
          </w:p>
          <w:p w:rsidR="008111E3" w:rsidRDefault="003F4FFF">
            <w:pPr>
              <w:ind w:left="650"/>
              <w:jc w:val="center"/>
            </w:pPr>
            <w:r>
              <w:t>Senate Amendments</w:t>
            </w:r>
          </w:p>
          <w:p w:rsidR="008111E3" w:rsidRDefault="003F4FFF">
            <w:pPr>
              <w:ind w:left="650"/>
              <w:jc w:val="center"/>
            </w:pPr>
            <w:r>
              <w:t>Section-by-Section Analysis</w:t>
            </w:r>
          </w:p>
          <w:p w:rsidR="008111E3" w:rsidRDefault="008111E3">
            <w:pPr>
              <w:jc w:val="center"/>
            </w:pPr>
          </w:p>
        </w:tc>
      </w:tr>
      <w:tr w:rsidR="008111E3">
        <w:trPr>
          <w:cantSplit/>
          <w:tblHeader/>
        </w:trPr>
        <w:tc>
          <w:tcPr>
            <w:tcW w:w="1667" w:type="pct"/>
            <w:tcMar>
              <w:bottom w:w="188" w:type="dxa"/>
              <w:right w:w="0" w:type="dxa"/>
            </w:tcMar>
          </w:tcPr>
          <w:p w:rsidR="008111E3" w:rsidRDefault="003F4FFF">
            <w:pPr>
              <w:jc w:val="center"/>
            </w:pPr>
            <w:r>
              <w:t>HOUSE VERSION</w:t>
            </w:r>
          </w:p>
        </w:tc>
        <w:tc>
          <w:tcPr>
            <w:tcW w:w="1667" w:type="pct"/>
            <w:tcMar>
              <w:bottom w:w="188" w:type="dxa"/>
              <w:right w:w="0" w:type="dxa"/>
            </w:tcMar>
          </w:tcPr>
          <w:p w:rsidR="008111E3" w:rsidRDefault="003F4FFF">
            <w:pPr>
              <w:jc w:val="center"/>
            </w:pPr>
            <w:r>
              <w:t>SENATE VERSION (CS)</w:t>
            </w:r>
          </w:p>
        </w:tc>
        <w:tc>
          <w:tcPr>
            <w:tcW w:w="1667" w:type="pct"/>
            <w:tcMar>
              <w:bottom w:w="188" w:type="dxa"/>
              <w:right w:w="0" w:type="dxa"/>
            </w:tcMar>
          </w:tcPr>
          <w:p w:rsidR="008111E3" w:rsidRDefault="003F4FFF">
            <w:pPr>
              <w:jc w:val="center"/>
            </w:pPr>
            <w:r>
              <w:t>CONFERENCE</w:t>
            </w:r>
          </w:p>
        </w:tc>
      </w:tr>
      <w:tr w:rsidR="008111E3">
        <w:tc>
          <w:tcPr>
            <w:tcW w:w="6473" w:type="dxa"/>
          </w:tcPr>
          <w:p w:rsidR="008111E3" w:rsidRDefault="003F4FFF">
            <w:pPr>
              <w:jc w:val="both"/>
            </w:pPr>
            <w:r>
              <w:t>SECTION 1.  Subchapter E, Chapter 437, Government Code, is amended by adding Section 437.232 to read as follows:</w:t>
            </w:r>
          </w:p>
          <w:p w:rsidR="008111E3" w:rsidRDefault="003F4FFF">
            <w:pPr>
              <w:jc w:val="both"/>
            </w:pPr>
            <w:r>
              <w:rPr>
                <w:u w:val="single"/>
              </w:rPr>
              <w:t xml:space="preserve">Sec. 437.232.  CONFIDENTIALITY OF </w:t>
            </w:r>
            <w:r w:rsidRPr="00BC6C07">
              <w:rPr>
                <w:highlight w:val="lightGray"/>
                <w:u w:val="single"/>
              </w:rPr>
              <w:t>CERTAIN</w:t>
            </w:r>
            <w:r>
              <w:rPr>
                <w:u w:val="single"/>
              </w:rPr>
              <w:t xml:space="preserve"> INFORMATION.  (a)  </w:t>
            </w:r>
            <w:r w:rsidRPr="00BC6C07">
              <w:rPr>
                <w:highlight w:val="lightGray"/>
                <w:u w:val="single"/>
              </w:rPr>
              <w:t>Information that relates to the military service of a service member ordered to state active duty, including the</w:t>
            </w:r>
            <w:r>
              <w:rPr>
                <w:u w:val="single"/>
              </w:rPr>
              <w:t xml:space="preserve"> service member's name, orders, </w:t>
            </w:r>
            <w:r w:rsidRPr="00BC6C07">
              <w:rPr>
                <w:highlight w:val="lightGray"/>
                <w:u w:val="single"/>
              </w:rPr>
              <w:t>and the location of the service member's</w:t>
            </w:r>
            <w:r w:rsidRPr="00EE500B">
              <w:rPr>
                <w:u w:val="single"/>
              </w:rPr>
              <w:t xml:space="preserve"> deployment, </w:t>
            </w:r>
            <w:r w:rsidRPr="00BC6C07">
              <w:rPr>
                <w:highlight w:val="lightGray"/>
                <w:u w:val="single"/>
              </w:rPr>
              <w:t>is confidential and not subject to Chapter 552 during the period the service member remains ordered to state active duty.</w:t>
            </w:r>
          </w:p>
          <w:p w:rsidR="008111E3" w:rsidRDefault="003F4FFF">
            <w:pPr>
              <w:jc w:val="both"/>
            </w:pPr>
            <w:r>
              <w:rPr>
                <w:u w:val="single"/>
              </w:rPr>
              <w:t xml:space="preserve">(b)  </w:t>
            </w:r>
            <w:r w:rsidRPr="00BC6C07">
              <w:rPr>
                <w:highlight w:val="lightGray"/>
                <w:u w:val="single"/>
              </w:rPr>
              <w:t>After a service member is relieved from duty, information pertaining to the</w:t>
            </w:r>
            <w:r w:rsidRPr="00EE500B">
              <w:rPr>
                <w:u w:val="single"/>
              </w:rPr>
              <w:t xml:space="preserve"> service member's </w:t>
            </w:r>
            <w:r w:rsidRPr="00BC6C07">
              <w:rPr>
                <w:highlight w:val="lightGray"/>
                <w:u w:val="single"/>
              </w:rPr>
              <w:t>state active duty is public information and is not excepted from required</w:t>
            </w:r>
            <w:r w:rsidRPr="00EE6823">
              <w:rPr>
                <w:u w:val="single"/>
              </w:rPr>
              <w:t xml:space="preserve"> </w:t>
            </w:r>
            <w:r w:rsidRPr="0033424A">
              <w:rPr>
                <w:u w:val="single"/>
              </w:rPr>
              <w:t>disclosure</w:t>
            </w:r>
            <w:r>
              <w:rPr>
                <w:u w:val="single"/>
              </w:rPr>
              <w:t xml:space="preserve"> under Chapter 552</w:t>
            </w:r>
            <w:r w:rsidRPr="00EE6823">
              <w:rPr>
                <w:u w:val="single"/>
              </w:rPr>
              <w:t xml:space="preserve">, </w:t>
            </w:r>
            <w:r w:rsidRPr="00BC6C07">
              <w:rPr>
                <w:highlight w:val="lightGray"/>
                <w:u w:val="single"/>
              </w:rPr>
              <w:t>subject to state and federal laws governing disclosure of military information.</w:t>
            </w:r>
          </w:p>
          <w:p w:rsidR="008111E3" w:rsidRDefault="008111E3">
            <w:pPr>
              <w:jc w:val="both"/>
            </w:pPr>
          </w:p>
        </w:tc>
        <w:tc>
          <w:tcPr>
            <w:tcW w:w="6480" w:type="dxa"/>
          </w:tcPr>
          <w:p w:rsidR="008111E3" w:rsidRDefault="003F4FFF">
            <w:pPr>
              <w:jc w:val="both"/>
            </w:pPr>
            <w:r>
              <w:t>SECTION 1.  Subchapter E, Chapter 437, Government Code, is amended by adding Section 437.232 to read as follows:</w:t>
            </w:r>
          </w:p>
          <w:p w:rsidR="008111E3" w:rsidRDefault="003F4FFF">
            <w:pPr>
              <w:jc w:val="both"/>
            </w:pPr>
            <w:r>
              <w:rPr>
                <w:u w:val="single"/>
              </w:rPr>
              <w:t xml:space="preserve">Sec. 437.232.  CONFIDENTIALITY OF </w:t>
            </w:r>
            <w:r w:rsidRPr="00BC6C07">
              <w:rPr>
                <w:highlight w:val="lightGray"/>
                <w:u w:val="single"/>
              </w:rPr>
              <w:t>MILITARY</w:t>
            </w:r>
            <w:r>
              <w:rPr>
                <w:u w:val="single"/>
              </w:rPr>
              <w:t xml:space="preserve"> </w:t>
            </w:r>
            <w:r w:rsidRPr="00BC6C07">
              <w:rPr>
                <w:highlight w:val="lightGray"/>
                <w:u w:val="single"/>
              </w:rPr>
              <w:t>PERSONNEL</w:t>
            </w:r>
            <w:r>
              <w:rPr>
                <w:u w:val="single"/>
              </w:rPr>
              <w:t xml:space="preserve"> INFORMATION.  (a)  </w:t>
            </w:r>
            <w:r w:rsidRPr="00BC6C07">
              <w:rPr>
                <w:highlight w:val="lightGray"/>
                <w:u w:val="single"/>
              </w:rPr>
              <w:t>In this section, "military personnel information" means a</w:t>
            </w:r>
            <w:r>
              <w:rPr>
                <w:u w:val="single"/>
              </w:rPr>
              <w:t xml:space="preserve"> service member's name, </w:t>
            </w:r>
            <w:r w:rsidRPr="00BC6C07">
              <w:rPr>
                <w:highlight w:val="lightGray"/>
                <w:u w:val="single"/>
              </w:rPr>
              <w:t>home address, rank, official title, pay rate or grade, state active duty</w:t>
            </w:r>
            <w:r>
              <w:rPr>
                <w:u w:val="single"/>
              </w:rPr>
              <w:t xml:space="preserve"> orders, </w:t>
            </w:r>
            <w:r w:rsidRPr="00EE500B">
              <w:rPr>
                <w:u w:val="single"/>
              </w:rPr>
              <w:t xml:space="preserve">deployment </w:t>
            </w:r>
            <w:r w:rsidRPr="00BC6C07">
              <w:rPr>
                <w:highlight w:val="lightGray"/>
                <w:u w:val="single"/>
              </w:rPr>
              <w:t>locations, military duty addresses, awards and decorations, length of military service, and medical records.</w:t>
            </w:r>
          </w:p>
          <w:p w:rsidR="008111E3" w:rsidRDefault="003F4FFF">
            <w:pPr>
              <w:jc w:val="both"/>
            </w:pPr>
            <w:r>
              <w:rPr>
                <w:u w:val="single"/>
              </w:rPr>
              <w:t xml:space="preserve">(b)  </w:t>
            </w:r>
            <w:r w:rsidRPr="00BC6C07">
              <w:rPr>
                <w:highlight w:val="lightGray"/>
                <w:u w:val="single"/>
              </w:rPr>
              <w:t>A</w:t>
            </w:r>
            <w:r>
              <w:rPr>
                <w:u w:val="single"/>
              </w:rPr>
              <w:t xml:space="preserve"> service </w:t>
            </w:r>
            <w:r w:rsidRPr="00EE500B">
              <w:rPr>
                <w:u w:val="single"/>
              </w:rPr>
              <w:t xml:space="preserve">member's </w:t>
            </w:r>
            <w:r w:rsidRPr="00BC6C07">
              <w:rPr>
                <w:highlight w:val="lightGray"/>
                <w:u w:val="single"/>
              </w:rPr>
              <w:t>military personnel information is confidential and not subject to</w:t>
            </w:r>
            <w:r>
              <w:rPr>
                <w:u w:val="single"/>
              </w:rPr>
              <w:t xml:space="preserve"> disclosure under Chapter 552.</w:t>
            </w:r>
          </w:p>
          <w:p w:rsidR="008111E3" w:rsidRDefault="008111E3">
            <w:pPr>
              <w:jc w:val="both"/>
            </w:pPr>
          </w:p>
        </w:tc>
        <w:tc>
          <w:tcPr>
            <w:tcW w:w="5760" w:type="dxa"/>
          </w:tcPr>
          <w:p w:rsidR="008111E3" w:rsidRDefault="008111E3">
            <w:pPr>
              <w:jc w:val="both"/>
            </w:pPr>
          </w:p>
        </w:tc>
      </w:tr>
      <w:tr w:rsidR="008111E3">
        <w:tc>
          <w:tcPr>
            <w:tcW w:w="6473" w:type="dxa"/>
          </w:tcPr>
          <w:p w:rsidR="008111E3" w:rsidRDefault="003F4FFF">
            <w:pPr>
              <w:jc w:val="both"/>
            </w:pPr>
            <w:r>
              <w:t>SECTION 2.  Section 552.117(a), Government Code, is amended to read as follows:</w:t>
            </w:r>
          </w:p>
          <w:p w:rsidR="008111E3" w:rsidRDefault="003F4FFF">
            <w:pPr>
              <w:jc w:val="both"/>
            </w:pPr>
            <w:r>
              <w:t>(a)  Information is excepted from the requirements of Section 552.021 if it is information that relates to the home address, home telephone number, emergency contact information, or social security number of the following person or that reveals whether the person has family members:</w:t>
            </w:r>
          </w:p>
          <w:p w:rsidR="008111E3" w:rsidRDefault="003F4FFF">
            <w:pPr>
              <w:jc w:val="both"/>
            </w:pPr>
            <w:r>
              <w:t>(1)  a current or former official or employee of a governmental body, except as otherwise provided by Section 552.024;</w:t>
            </w:r>
          </w:p>
          <w:p w:rsidR="008111E3" w:rsidRDefault="003F4FFF">
            <w:pPr>
              <w:jc w:val="both"/>
            </w:pPr>
            <w:r>
              <w:t>(2)  a peace officer as defined by Article 2.12, Code of Criminal Procedure, or a security officer commissioned under Section 51.212, Education Code, regardless of whether the officer complies with Section 552.024 or 552.1175, as applicable;</w:t>
            </w:r>
          </w:p>
          <w:p w:rsidR="008111E3" w:rsidRDefault="003F4FFF">
            <w:pPr>
              <w:jc w:val="both"/>
            </w:pPr>
            <w:r>
              <w:t xml:space="preserve">(3)  a current or former employee of the Texas Department of </w:t>
            </w:r>
            <w:r>
              <w:lastRenderedPageBreak/>
              <w:t>Criminal Justice or of the predecessor in function of the department or any division of the department, regardless of whether the current or former employee complies with Section 552.1175;</w:t>
            </w:r>
          </w:p>
          <w:p w:rsidR="008111E3" w:rsidRDefault="003F4FFF">
            <w:pPr>
              <w:jc w:val="both"/>
            </w:pPr>
            <w:r>
              <w:t>(4)  a peace officer as defined by Article 2.12, Code of Criminal Procedure, or other law, a reserve law enforcement officer, a commissioned deputy game warden, or a corrections officer in a municipal, county, or state penal institution in this state who was killed in the line of duty, regardless of whether the deceased complied with Section 552.024 or 552.1175;</w:t>
            </w:r>
          </w:p>
          <w:p w:rsidR="008111E3" w:rsidRDefault="003F4FFF">
            <w:pPr>
              <w:jc w:val="both"/>
            </w:pPr>
            <w:r>
              <w:t>(5)  a commissioned security officer as defined by Section 1702.002, Occupations Code, regardless of whether the officer complies with Section 552.024 or 552.1175, as applicable;</w:t>
            </w:r>
          </w:p>
          <w:p w:rsidR="008111E3" w:rsidRDefault="003F4FFF">
            <w:pPr>
              <w:jc w:val="both"/>
            </w:pPr>
            <w:r>
              <w:t>(6)  an officer or employee of a community supervision and corrections department established under Chapter 76 who performs a duty described by Section 76.004(b), regardless of whether the officer or employee complies with Section 552.024 or 552.1175;</w:t>
            </w:r>
          </w:p>
          <w:p w:rsidR="008111E3" w:rsidRDefault="003F4FFF">
            <w:pPr>
              <w:jc w:val="both"/>
            </w:pPr>
            <w:r>
              <w:t>(7)  a current or former employee of the office of the attorney general who is or was assigned to a division of that office the duties of which involve law enforcement, regardless of whether the current or former employee complies with Section 552.024 or 552.1175;</w:t>
            </w:r>
          </w:p>
          <w:p w:rsidR="008111E3" w:rsidRDefault="003F4FFF">
            <w:pPr>
              <w:jc w:val="both"/>
            </w:pPr>
            <w:r>
              <w:t>(8)  a current or former employee of the Texas Juvenile Justice Department or of the predecessors in function of the department, regardless of whether the current or former employee complies with Section 552.1175;</w:t>
            </w:r>
          </w:p>
          <w:p w:rsidR="008111E3" w:rsidRDefault="003F4FFF">
            <w:pPr>
              <w:jc w:val="both"/>
            </w:pPr>
            <w:r>
              <w:t>(9)  a juvenile probation or supervision officer certified by the Texas Juvenile Justice Department, or the predecessors in function of the department, under Title 12, Human Resources Code; [</w:t>
            </w:r>
            <w:r>
              <w:rPr>
                <w:strike/>
              </w:rPr>
              <w:t>or</w:t>
            </w:r>
            <w:r>
              <w:t>]</w:t>
            </w:r>
          </w:p>
          <w:p w:rsidR="008111E3" w:rsidRDefault="003F4FFF">
            <w:pPr>
              <w:jc w:val="both"/>
            </w:pPr>
            <w:r>
              <w:t xml:space="preserve">(10)  employees of a juvenile justice program or facility, as </w:t>
            </w:r>
            <w:r>
              <w:lastRenderedPageBreak/>
              <w:t>those terms are defined by Section 261.405, Family Code</w:t>
            </w:r>
            <w:r>
              <w:rPr>
                <w:u w:val="single"/>
              </w:rPr>
              <w:t>; or</w:t>
            </w:r>
          </w:p>
          <w:p w:rsidR="008111E3" w:rsidRDefault="003F4FFF">
            <w:pPr>
              <w:jc w:val="both"/>
            </w:pPr>
            <w:r>
              <w:rPr>
                <w:u w:val="single"/>
              </w:rPr>
              <w:t>(11)  a current or former member of the Texas military forces, as that term is defined by Section 437.001</w:t>
            </w:r>
            <w:r>
              <w:t>.</w:t>
            </w:r>
          </w:p>
          <w:p w:rsidR="008111E3" w:rsidRDefault="008111E3">
            <w:pPr>
              <w:jc w:val="both"/>
            </w:pPr>
          </w:p>
        </w:tc>
        <w:tc>
          <w:tcPr>
            <w:tcW w:w="6480" w:type="dxa"/>
          </w:tcPr>
          <w:p w:rsidR="008111E3" w:rsidRDefault="003F4FFF">
            <w:pPr>
              <w:jc w:val="both"/>
            </w:pPr>
            <w:r>
              <w:lastRenderedPageBreak/>
              <w:t>SECTION 2. Same as House version.</w:t>
            </w:r>
          </w:p>
          <w:p w:rsidR="008111E3" w:rsidRDefault="008111E3">
            <w:pPr>
              <w:jc w:val="both"/>
            </w:pPr>
          </w:p>
          <w:p w:rsidR="008111E3" w:rsidRDefault="008111E3">
            <w:pPr>
              <w:jc w:val="both"/>
            </w:pPr>
          </w:p>
        </w:tc>
        <w:tc>
          <w:tcPr>
            <w:tcW w:w="5760" w:type="dxa"/>
          </w:tcPr>
          <w:p w:rsidR="008111E3" w:rsidRDefault="008111E3">
            <w:pPr>
              <w:jc w:val="both"/>
            </w:pPr>
          </w:p>
        </w:tc>
      </w:tr>
      <w:tr w:rsidR="008111E3">
        <w:tc>
          <w:tcPr>
            <w:tcW w:w="6473" w:type="dxa"/>
          </w:tcPr>
          <w:p w:rsidR="008111E3" w:rsidRDefault="003F4FFF">
            <w:pPr>
              <w:jc w:val="both"/>
            </w:pPr>
            <w:r>
              <w:lastRenderedPageBreak/>
              <w:t>SECTION 3.  The changes in law made by this Act apply only to a request for information that is received by a governmental body or an officer for public information on or after the effective date of this Act. A request for information that was received before the effective date of this Act is governed by the law in effect on the date the request was received, and the former law is continued in effect for that purpose.</w:t>
            </w:r>
          </w:p>
          <w:p w:rsidR="008111E3" w:rsidRDefault="008111E3">
            <w:pPr>
              <w:jc w:val="both"/>
            </w:pPr>
          </w:p>
        </w:tc>
        <w:tc>
          <w:tcPr>
            <w:tcW w:w="6480" w:type="dxa"/>
          </w:tcPr>
          <w:p w:rsidR="008111E3" w:rsidRDefault="003F4FFF">
            <w:pPr>
              <w:jc w:val="both"/>
            </w:pPr>
            <w:r>
              <w:t>SECTION 3. Same as House version.</w:t>
            </w:r>
          </w:p>
          <w:p w:rsidR="008111E3" w:rsidRDefault="008111E3">
            <w:pPr>
              <w:jc w:val="both"/>
            </w:pPr>
          </w:p>
          <w:p w:rsidR="008111E3" w:rsidRDefault="008111E3">
            <w:pPr>
              <w:jc w:val="both"/>
            </w:pPr>
          </w:p>
        </w:tc>
        <w:tc>
          <w:tcPr>
            <w:tcW w:w="5760" w:type="dxa"/>
          </w:tcPr>
          <w:p w:rsidR="008111E3" w:rsidRDefault="008111E3">
            <w:pPr>
              <w:jc w:val="both"/>
            </w:pPr>
          </w:p>
        </w:tc>
      </w:tr>
      <w:tr w:rsidR="008111E3">
        <w:tc>
          <w:tcPr>
            <w:tcW w:w="6473" w:type="dxa"/>
          </w:tcPr>
          <w:p w:rsidR="008111E3" w:rsidRDefault="003F4FFF">
            <w:pPr>
              <w:jc w:val="both"/>
            </w:pPr>
            <w:r>
              <w:t>SECTION 4.  This Act takes effect September 1, 2015.</w:t>
            </w:r>
          </w:p>
          <w:p w:rsidR="008111E3" w:rsidRDefault="008111E3">
            <w:pPr>
              <w:jc w:val="both"/>
            </w:pPr>
          </w:p>
        </w:tc>
        <w:tc>
          <w:tcPr>
            <w:tcW w:w="6480" w:type="dxa"/>
          </w:tcPr>
          <w:p w:rsidR="008111E3" w:rsidRDefault="003F4FFF">
            <w:pPr>
              <w:jc w:val="both"/>
            </w:pPr>
            <w:r>
              <w:t>SECTION 4. Same as House version.</w:t>
            </w:r>
          </w:p>
          <w:p w:rsidR="008111E3" w:rsidRDefault="008111E3">
            <w:pPr>
              <w:jc w:val="both"/>
            </w:pPr>
          </w:p>
          <w:p w:rsidR="008111E3" w:rsidRDefault="008111E3">
            <w:pPr>
              <w:jc w:val="both"/>
            </w:pPr>
          </w:p>
        </w:tc>
        <w:tc>
          <w:tcPr>
            <w:tcW w:w="5760" w:type="dxa"/>
          </w:tcPr>
          <w:p w:rsidR="008111E3" w:rsidRDefault="008111E3">
            <w:pPr>
              <w:jc w:val="both"/>
            </w:pPr>
          </w:p>
        </w:tc>
      </w:tr>
    </w:tbl>
    <w:p w:rsidR="002D0B6D" w:rsidRDefault="002D0B6D"/>
    <w:sectPr w:rsidR="002D0B6D" w:rsidSect="008111E3">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BAE" w:rsidRDefault="00162BAE" w:rsidP="008111E3">
      <w:r>
        <w:separator/>
      </w:r>
    </w:p>
  </w:endnote>
  <w:endnote w:type="continuationSeparator" w:id="0">
    <w:p w:rsidR="00162BAE" w:rsidRDefault="00162BAE" w:rsidP="0081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ACE" w:rsidRDefault="00C93A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1E3" w:rsidRDefault="00562D0E">
    <w:pPr>
      <w:tabs>
        <w:tab w:val="center" w:pos="9360"/>
        <w:tab w:val="right" w:pos="18720"/>
      </w:tabs>
    </w:pPr>
    <w:fldSimple w:instr=" DOCPROPERTY  CCRF  \* MERGEFORMAT ">
      <w:r w:rsidR="00BC6C07">
        <w:t xml:space="preserve"> </w:t>
      </w:r>
    </w:fldSimple>
    <w:r w:rsidR="003F4FFF">
      <w:tab/>
    </w:r>
    <w:r w:rsidR="008111E3">
      <w:fldChar w:fldCharType="begin"/>
    </w:r>
    <w:r w:rsidR="003F4FFF">
      <w:instrText xml:space="preserve"> PAGE </w:instrText>
    </w:r>
    <w:r w:rsidR="008111E3">
      <w:fldChar w:fldCharType="separate"/>
    </w:r>
    <w:r w:rsidR="00CF2010">
      <w:rPr>
        <w:noProof/>
      </w:rPr>
      <w:t>1</w:t>
    </w:r>
    <w:r w:rsidR="008111E3">
      <w:fldChar w:fldCharType="end"/>
    </w:r>
    <w:r w:rsidR="003F4FFF">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ACE" w:rsidRDefault="00C93A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BAE" w:rsidRDefault="00162BAE" w:rsidP="008111E3">
      <w:r>
        <w:separator/>
      </w:r>
    </w:p>
  </w:footnote>
  <w:footnote w:type="continuationSeparator" w:id="0">
    <w:p w:rsidR="00162BAE" w:rsidRDefault="00162BAE" w:rsidP="00811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ACE" w:rsidRDefault="00C93A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ACE" w:rsidRDefault="00C93A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ACE" w:rsidRDefault="00C93A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1E3"/>
    <w:rsid w:val="00162BAE"/>
    <w:rsid w:val="002D0B6D"/>
    <w:rsid w:val="0033424A"/>
    <w:rsid w:val="003F4FFF"/>
    <w:rsid w:val="00562D0E"/>
    <w:rsid w:val="008111E3"/>
    <w:rsid w:val="00BC6C07"/>
    <w:rsid w:val="00C93ACE"/>
    <w:rsid w:val="00CF2010"/>
    <w:rsid w:val="00EE500B"/>
    <w:rsid w:val="00EE6823"/>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1E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ACE"/>
    <w:pPr>
      <w:tabs>
        <w:tab w:val="center" w:pos="4680"/>
        <w:tab w:val="right" w:pos="9360"/>
      </w:tabs>
    </w:pPr>
  </w:style>
  <w:style w:type="character" w:customStyle="1" w:styleId="HeaderChar">
    <w:name w:val="Header Char"/>
    <w:link w:val="Header"/>
    <w:uiPriority w:val="99"/>
    <w:rsid w:val="00C93ACE"/>
    <w:rPr>
      <w:sz w:val="22"/>
    </w:rPr>
  </w:style>
  <w:style w:type="paragraph" w:styleId="Footer">
    <w:name w:val="footer"/>
    <w:basedOn w:val="Normal"/>
    <w:link w:val="FooterChar"/>
    <w:uiPriority w:val="99"/>
    <w:unhideWhenUsed/>
    <w:rsid w:val="00C93ACE"/>
    <w:pPr>
      <w:tabs>
        <w:tab w:val="center" w:pos="4680"/>
        <w:tab w:val="right" w:pos="9360"/>
      </w:tabs>
    </w:pPr>
  </w:style>
  <w:style w:type="character" w:customStyle="1" w:styleId="FooterChar">
    <w:name w:val="Footer Char"/>
    <w:link w:val="Footer"/>
    <w:uiPriority w:val="99"/>
    <w:rsid w:val="00C93AC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1E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ACE"/>
    <w:pPr>
      <w:tabs>
        <w:tab w:val="center" w:pos="4680"/>
        <w:tab w:val="right" w:pos="9360"/>
      </w:tabs>
    </w:pPr>
  </w:style>
  <w:style w:type="character" w:customStyle="1" w:styleId="HeaderChar">
    <w:name w:val="Header Char"/>
    <w:link w:val="Header"/>
    <w:uiPriority w:val="99"/>
    <w:rsid w:val="00C93ACE"/>
    <w:rPr>
      <w:sz w:val="22"/>
    </w:rPr>
  </w:style>
  <w:style w:type="paragraph" w:styleId="Footer">
    <w:name w:val="footer"/>
    <w:basedOn w:val="Normal"/>
    <w:link w:val="FooterChar"/>
    <w:uiPriority w:val="99"/>
    <w:unhideWhenUsed/>
    <w:rsid w:val="00C93ACE"/>
    <w:pPr>
      <w:tabs>
        <w:tab w:val="center" w:pos="4680"/>
        <w:tab w:val="right" w:pos="9360"/>
      </w:tabs>
    </w:pPr>
  </w:style>
  <w:style w:type="character" w:customStyle="1" w:styleId="FooterChar">
    <w:name w:val="Footer Char"/>
    <w:link w:val="Footer"/>
    <w:uiPriority w:val="99"/>
    <w:rsid w:val="00C93AC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Template>
  <TotalTime>0</TotalTime>
  <Pages>3</Pages>
  <Words>708</Words>
  <Characters>4036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HB2152-SAA</vt:lpstr>
    </vt:vector>
  </TitlesOfParts>
  <Company>Texas Legislative Council</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HB2152-SAA</dc:title>
  <dc:creator>JWD</dc:creator>
  <cp:lastModifiedBy>JWD</cp:lastModifiedBy>
  <cp:revision>2</cp:revision>
  <dcterms:created xsi:type="dcterms:W3CDTF">2015-05-15T17:33:00Z</dcterms:created>
  <dcterms:modified xsi:type="dcterms:W3CDTF">2015-05-15T17:33:00Z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