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62CC9" w:rsidTr="00162CC9">
        <w:trPr>
          <w:cantSplit/>
          <w:tblHeader/>
        </w:trPr>
        <w:tc>
          <w:tcPr>
            <w:tcW w:w="18713" w:type="dxa"/>
            <w:gridSpan w:val="3"/>
          </w:tcPr>
          <w:p w:rsidR="00B63635" w:rsidRDefault="00162CC9">
            <w:pPr>
              <w:ind w:left="650"/>
              <w:jc w:val="center"/>
            </w:pPr>
            <w:bookmarkStart w:id="0" w:name="_GoBack"/>
            <w:bookmarkEnd w:id="0"/>
            <w:r>
              <w:rPr>
                <w:b/>
              </w:rPr>
              <w:t>House Bill  2349</w:t>
            </w:r>
          </w:p>
          <w:p w:rsidR="00B63635" w:rsidRDefault="00162CC9">
            <w:pPr>
              <w:ind w:left="650"/>
              <w:jc w:val="center"/>
            </w:pPr>
            <w:r>
              <w:t>Senate Amendments</w:t>
            </w:r>
          </w:p>
          <w:p w:rsidR="00B63635" w:rsidRDefault="00162CC9">
            <w:pPr>
              <w:ind w:left="650"/>
              <w:jc w:val="center"/>
            </w:pPr>
            <w:r>
              <w:t>Section-by-Section Analysis</w:t>
            </w:r>
          </w:p>
          <w:p w:rsidR="00B63635" w:rsidRDefault="00B63635">
            <w:pPr>
              <w:jc w:val="center"/>
            </w:pPr>
          </w:p>
        </w:tc>
      </w:tr>
      <w:tr w:rsidR="00B63635">
        <w:trPr>
          <w:cantSplit/>
          <w:tblHeader/>
        </w:trPr>
        <w:tc>
          <w:tcPr>
            <w:tcW w:w="1667" w:type="pct"/>
            <w:tcMar>
              <w:bottom w:w="188" w:type="dxa"/>
              <w:right w:w="0" w:type="dxa"/>
            </w:tcMar>
          </w:tcPr>
          <w:p w:rsidR="00B63635" w:rsidRDefault="00162CC9">
            <w:pPr>
              <w:jc w:val="center"/>
            </w:pPr>
            <w:r>
              <w:t>HOUSE VERSION</w:t>
            </w:r>
          </w:p>
        </w:tc>
        <w:tc>
          <w:tcPr>
            <w:tcW w:w="1667" w:type="pct"/>
            <w:tcMar>
              <w:bottom w:w="188" w:type="dxa"/>
              <w:right w:w="0" w:type="dxa"/>
            </w:tcMar>
          </w:tcPr>
          <w:p w:rsidR="00B63635" w:rsidRDefault="00162CC9">
            <w:pPr>
              <w:jc w:val="center"/>
            </w:pPr>
            <w:r>
              <w:t>SENATE VERSION (CS)</w:t>
            </w:r>
          </w:p>
        </w:tc>
        <w:tc>
          <w:tcPr>
            <w:tcW w:w="1667" w:type="pct"/>
            <w:tcMar>
              <w:bottom w:w="188" w:type="dxa"/>
              <w:right w:w="0" w:type="dxa"/>
            </w:tcMar>
          </w:tcPr>
          <w:p w:rsidR="00B63635" w:rsidRDefault="00162CC9">
            <w:pPr>
              <w:jc w:val="center"/>
            </w:pPr>
            <w:r>
              <w:t>CONFERENCE</w:t>
            </w:r>
          </w:p>
        </w:tc>
      </w:tr>
      <w:tr w:rsidR="00B63635">
        <w:tc>
          <w:tcPr>
            <w:tcW w:w="6473" w:type="dxa"/>
          </w:tcPr>
          <w:p w:rsidR="00B63635" w:rsidRDefault="00162CC9">
            <w:pPr>
              <w:jc w:val="both"/>
            </w:pPr>
            <w:r>
              <w:t>SECTION 1.  Section 28.025(c-5), Education Code, is amended to read as follows:</w:t>
            </w:r>
          </w:p>
          <w:p w:rsidR="00B63635" w:rsidRDefault="00162CC9">
            <w:pPr>
              <w:jc w:val="both"/>
            </w:pPr>
            <w:r>
              <w:t>(c-5)  A student may earn a performance acknowledgment on the student's diploma and transcript by satisfying the requirements for that acknowledgment adopted by the State Board of Education by rule. An acknowledgment under this subsection may be earned:</w:t>
            </w:r>
          </w:p>
          <w:p w:rsidR="00B63635" w:rsidRDefault="00162CC9">
            <w:pPr>
              <w:jc w:val="both"/>
            </w:pPr>
            <w:r>
              <w:t>(1)  for outstanding performance:</w:t>
            </w:r>
          </w:p>
          <w:p w:rsidR="00B63635" w:rsidRDefault="00162CC9">
            <w:pPr>
              <w:jc w:val="both"/>
            </w:pPr>
            <w:r>
              <w:t>(A)  in a dual credit course;</w:t>
            </w:r>
          </w:p>
          <w:p w:rsidR="00B63635" w:rsidRDefault="00162CC9">
            <w:pPr>
              <w:jc w:val="both"/>
            </w:pPr>
            <w:r>
              <w:t>(B)  in bilingualism and biliteracy;</w:t>
            </w:r>
          </w:p>
          <w:p w:rsidR="00B63635" w:rsidRDefault="00162CC9">
            <w:pPr>
              <w:jc w:val="both"/>
            </w:pPr>
            <w:r>
              <w:t>(C)  on a college advanced placement test or international baccalaureate examination; [</w:t>
            </w:r>
            <w:r>
              <w:rPr>
                <w:strike/>
              </w:rPr>
              <w:t>or</w:t>
            </w:r>
            <w:r>
              <w:t>]</w:t>
            </w:r>
          </w:p>
          <w:p w:rsidR="00B63635" w:rsidRDefault="00162CC9">
            <w:pPr>
              <w:jc w:val="both"/>
            </w:pPr>
            <w:r>
              <w:t xml:space="preserve">(D)  on </w:t>
            </w:r>
            <w:r>
              <w:rPr>
                <w:u w:val="single"/>
              </w:rPr>
              <w:t>an established, valid, reliable, and nationally norm-referenced preliminary college preparation assessment instrument used to measure a student's progress toward readiness for college and the workplace; or</w:t>
            </w:r>
          </w:p>
          <w:p w:rsidR="00B63635" w:rsidRDefault="00162CC9">
            <w:pPr>
              <w:jc w:val="both"/>
            </w:pPr>
            <w:r>
              <w:rPr>
                <w:u w:val="single"/>
              </w:rPr>
              <w:t>(E)  on an established, valid, reliable, and nationally norm-referenced assessment instrument used by colleges and universities as part of their undergraduate admissions process</w:t>
            </w:r>
            <w:r>
              <w:t xml:space="preserve"> [</w:t>
            </w:r>
            <w:r>
              <w:rPr>
                <w:strike/>
              </w:rPr>
              <w:t>the PSAT, the ACT-Plan, the SAT, or the ACT</w:t>
            </w:r>
            <w:r>
              <w:t>]; or</w:t>
            </w:r>
          </w:p>
          <w:p w:rsidR="00B63635" w:rsidRDefault="00162CC9" w:rsidP="004C23BA">
            <w:pPr>
              <w:jc w:val="both"/>
            </w:pPr>
            <w:r>
              <w:t xml:space="preserve">(2)  for earning a </w:t>
            </w:r>
            <w:r>
              <w:rPr>
                <w:u w:val="single"/>
              </w:rPr>
              <w:t>state recognized or</w:t>
            </w:r>
            <w:r>
              <w:t xml:space="preserve"> nationally or internationally recognized business or industry certification or license.</w:t>
            </w:r>
          </w:p>
        </w:tc>
        <w:tc>
          <w:tcPr>
            <w:tcW w:w="6480" w:type="dxa"/>
          </w:tcPr>
          <w:p w:rsidR="00B63635" w:rsidRDefault="00162CC9">
            <w:pPr>
              <w:jc w:val="both"/>
            </w:pPr>
            <w:r>
              <w:t>SECTION 1. Same as House version.</w:t>
            </w:r>
          </w:p>
          <w:p w:rsidR="00B63635" w:rsidRDefault="00B63635">
            <w:pPr>
              <w:jc w:val="both"/>
            </w:pP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pPr>
              <w:jc w:val="both"/>
            </w:pPr>
            <w:r>
              <w:t>SECTION 2.  Section 39.023, Education Code, is amended by adding Subsection (e-1) to read as follows:</w:t>
            </w:r>
          </w:p>
          <w:p w:rsidR="00B63635" w:rsidRDefault="00162CC9" w:rsidP="004C23BA">
            <w:pPr>
              <w:jc w:val="both"/>
            </w:pPr>
            <w:r>
              <w:rPr>
                <w:u w:val="single"/>
              </w:rPr>
              <w:t>(e-1)  The agency may defer releasing assessment instrument questions and answer keys as required by Subsection (e) to the extent necessary to develop additional assessment instruments.</w:t>
            </w:r>
          </w:p>
        </w:tc>
        <w:tc>
          <w:tcPr>
            <w:tcW w:w="6480" w:type="dxa"/>
          </w:tcPr>
          <w:p w:rsidR="00B63635" w:rsidRDefault="00162CC9">
            <w:pPr>
              <w:jc w:val="both"/>
            </w:pPr>
            <w:r>
              <w:t>SECTION 2. Same as House version.</w:t>
            </w:r>
          </w:p>
          <w:p w:rsidR="00B63635" w:rsidRDefault="00B63635">
            <w:pPr>
              <w:jc w:val="both"/>
            </w:pPr>
          </w:p>
          <w:p w:rsidR="00B63635" w:rsidRDefault="00B63635">
            <w:pPr>
              <w:jc w:val="both"/>
            </w:pPr>
          </w:p>
        </w:tc>
        <w:tc>
          <w:tcPr>
            <w:tcW w:w="5760" w:type="dxa"/>
          </w:tcPr>
          <w:p w:rsidR="00B63635" w:rsidRDefault="00B63635">
            <w:pPr>
              <w:jc w:val="both"/>
            </w:pPr>
          </w:p>
        </w:tc>
      </w:tr>
      <w:tr w:rsidR="00B63635">
        <w:tc>
          <w:tcPr>
            <w:tcW w:w="6473" w:type="dxa"/>
          </w:tcPr>
          <w:p w:rsidR="004C23BA" w:rsidRDefault="00162CC9">
            <w:pPr>
              <w:jc w:val="both"/>
            </w:pPr>
            <w:r>
              <w:t xml:space="preserve">SECTION 3.  Subchapter B, Chapter 39, Education Code, is </w:t>
            </w:r>
            <w:r>
              <w:lastRenderedPageBreak/>
              <w:t>amended by adding Section 39.02315 to read as follows:</w:t>
            </w:r>
          </w:p>
          <w:p w:rsidR="00B63635" w:rsidRDefault="00162CC9">
            <w:pPr>
              <w:jc w:val="both"/>
            </w:pPr>
            <w:r>
              <w:rPr>
                <w:u w:val="single"/>
              </w:rPr>
              <w:t>Sec. 39.02315.  REPORTING RESULTS OF ASSESSMENT INSTRUMENTS FOR OUT-OF-STATE TRANSFER STUDENTS.  (a)  For assessment instruments required to be administered under Section 39.023, the agency shall adopt procedures to ensure that the results of the assessment instruments administered to students who transfer from a school district in another state to a school district in this state are reported to each school district separately from the results of assessment instruments administered to other students.</w:t>
            </w:r>
          </w:p>
          <w:p w:rsidR="00B63635" w:rsidRDefault="00162CC9">
            <w:pPr>
              <w:jc w:val="both"/>
            </w:pPr>
            <w:r>
              <w:rPr>
                <w:u w:val="single"/>
              </w:rPr>
              <w:t>(b)  The commissioner by rule shall:</w:t>
            </w:r>
          </w:p>
          <w:p w:rsidR="00B63635" w:rsidRDefault="00162CC9">
            <w:pPr>
              <w:jc w:val="both"/>
            </w:pPr>
            <w:r>
              <w:rPr>
                <w:u w:val="single"/>
              </w:rPr>
              <w:t>(1)  ensure that the results of assessment instruments administered to students who transfer from a school district in another state to a school district in this state reported under Subsection (a) are properly identified in agency systems that report and track academic performance of students; and</w:t>
            </w:r>
          </w:p>
          <w:p w:rsidR="00B63635" w:rsidRDefault="00162CC9" w:rsidP="004C23BA">
            <w:pPr>
              <w:jc w:val="both"/>
            </w:pPr>
            <w:r>
              <w:rPr>
                <w:u w:val="single"/>
              </w:rPr>
              <w:t>(2)  adopt procedures for reporting and tracking data relating to students who transfer from a school district in another state to a school district in this state.</w:t>
            </w:r>
          </w:p>
        </w:tc>
        <w:tc>
          <w:tcPr>
            <w:tcW w:w="6480" w:type="dxa"/>
          </w:tcPr>
          <w:p w:rsidR="00B63635" w:rsidRDefault="00162CC9">
            <w:pPr>
              <w:jc w:val="both"/>
            </w:pPr>
            <w:r>
              <w:lastRenderedPageBreak/>
              <w:t>SECTION 3. Same as House version.</w:t>
            </w:r>
          </w:p>
          <w:p w:rsidR="00B63635" w:rsidRDefault="00B63635">
            <w:pPr>
              <w:jc w:val="both"/>
            </w:pP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pPr>
              <w:jc w:val="both"/>
            </w:pPr>
            <w:r>
              <w:lastRenderedPageBreak/>
              <w:t>SECTION 4.  Sections 39.025(a), (f), and (g), Education Code, are amended to read as follows:</w:t>
            </w:r>
          </w:p>
          <w:p w:rsidR="00B63635" w:rsidRDefault="00162CC9">
            <w:pPr>
              <w:jc w:val="both"/>
            </w:pPr>
            <w:r>
              <w:t xml:space="preserve">(a)  The commissioner shall adopt rules requiring a student in the foundation high school program under Section 28.025 to be administered </w:t>
            </w:r>
            <w:r>
              <w:rPr>
                <w:u w:val="single"/>
              </w:rPr>
              <w:t>an</w:t>
            </w:r>
            <w:r>
              <w:t xml:space="preserve"> [</w:t>
            </w:r>
            <w:r>
              <w:rPr>
                <w:strike/>
              </w:rPr>
              <w:t>each</w:t>
            </w:r>
            <w:r>
              <w:t xml:space="preserve">] end-of-course assessment instrument listed in Section 39.023(c) </w:t>
            </w:r>
            <w:r>
              <w:rPr>
                <w:u w:val="single"/>
              </w:rPr>
              <w:t>only for a course in which the student is enrolled and for which an end-of-course assessment instrument is administered</w:t>
            </w:r>
            <w:r>
              <w:t xml:space="preserve">.  A student is required to achieve a scale score that indicates satisfactory performance, as determined by the commissioner under Section 39.0241(a), on each end-of-course assessment instrument </w:t>
            </w:r>
            <w:r>
              <w:rPr>
                <w:u w:val="single"/>
              </w:rPr>
              <w:t>administered to the student</w:t>
            </w:r>
            <w:r>
              <w:t xml:space="preserve"> [</w:t>
            </w:r>
            <w:r>
              <w:rPr>
                <w:strike/>
              </w:rPr>
              <w:t xml:space="preserve">listed under Section </w:t>
            </w:r>
            <w:r>
              <w:rPr>
                <w:strike/>
              </w:rPr>
              <w:lastRenderedPageBreak/>
              <w:t>39.023(c)</w:t>
            </w:r>
            <w:r>
              <w:t>].  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  This subsection does not require a student to demonstrate readiness to enroll in an institution of higher education.</w:t>
            </w:r>
          </w:p>
          <w:p w:rsidR="00B63635" w:rsidRDefault="00162CC9">
            <w:pPr>
              <w:jc w:val="both"/>
            </w:pPr>
            <w:r>
              <w:t>(f)  The commissioner shall by rule adopt a transition plan to implement the amendments made by Chapter 1312 (S.B. No. 1031), Acts of the 80th Legislature, Regular Session, 2007, replacing general subject assessment instruments administered at the high school level with end-of-course assessment instruments.  The rules must provide for the end-of-course assessment instruments adopted under Section 39.023(c) to be administered beginning with students entering the ninth grade during the 2011-2012 school year.  During the period under which the transition to end-of-course assessment instruments is made:</w:t>
            </w:r>
          </w:p>
          <w:p w:rsidR="00B63635" w:rsidRDefault="00162CC9">
            <w:pPr>
              <w:jc w:val="both"/>
            </w:pPr>
            <w:r>
              <w:t xml:space="preserve">(1)  for students entering a grade above the ninth grade during the 2011-2012 school year, the commissioner shall retain, administer, and use for purposes of accreditation and other campus and district accountability measures under this chapter the assessment instruments required by Section 39.023(a) or (c), as that section existed before amendment by Chapter 1312 (S.B. No. 1031), Acts of the 80th Legislature, Regular Session, 2007; </w:t>
            </w:r>
            <w:r>
              <w:rPr>
                <w:u w:val="single"/>
              </w:rPr>
              <w:t>and</w:t>
            </w:r>
          </w:p>
          <w:p w:rsidR="00B63635" w:rsidRDefault="00162CC9">
            <w:pPr>
              <w:jc w:val="both"/>
            </w:pPr>
            <w:r>
              <w:t xml:space="preserve">(2)  a student subject to Subdivision (1) may not receive a high school diploma unless the student has performed </w:t>
            </w:r>
            <w:r>
              <w:lastRenderedPageBreak/>
              <w:t>satisfactorily on each required assessment instrument administered under Section 39.023(c) as that section existed before amendment by Chapter 1312 (S.B. No. 1031), Acts of the 80th Legislature, Regular Session, 2007[</w:t>
            </w:r>
            <w:r>
              <w:rPr>
                <w:strike/>
              </w:rPr>
              <w:t>; and</w:t>
            </w:r>
          </w:p>
          <w:p w:rsidR="00B63635" w:rsidRDefault="00162CC9">
            <w:pPr>
              <w:jc w:val="both"/>
            </w:pPr>
            <w:r>
              <w:t>[</w:t>
            </w:r>
            <w:r>
              <w:rPr>
                <w:strike/>
              </w:rPr>
              <w:t>(3)  the agency may defer releasing assessment instrument questions and answer keys as required by Section 39.023(e) to the extent necessary to develop additional assessment instruments</w:t>
            </w:r>
            <w:r>
              <w:t>].</w:t>
            </w:r>
          </w:p>
          <w:p w:rsidR="00B63635" w:rsidRDefault="00162CC9" w:rsidP="004C23BA">
            <w:pPr>
              <w:jc w:val="both"/>
            </w:pPr>
            <w:r>
              <w:t>(g)  Rules adopted under Subsection (f) must require that each student who will be subject to the requirements of Subsection (a) is entitled to notice of the specific requirements applicable to the student.  Notice under this subsection must be provided not later than the date the student enters the eighth grade. [</w:t>
            </w:r>
            <w:r>
              <w:rPr>
                <w:strike/>
              </w:rPr>
              <w:t>Subsection (f) and this subsection expire September 1, 2015.</w:t>
            </w:r>
            <w:r>
              <w:t>]</w:t>
            </w:r>
          </w:p>
        </w:tc>
        <w:tc>
          <w:tcPr>
            <w:tcW w:w="6480" w:type="dxa"/>
          </w:tcPr>
          <w:p w:rsidR="00B63635" w:rsidRDefault="00162CC9">
            <w:pPr>
              <w:jc w:val="both"/>
            </w:pPr>
            <w:r>
              <w:lastRenderedPageBreak/>
              <w:t>SECTION 4. Same as House version.</w:t>
            </w:r>
          </w:p>
          <w:p w:rsidR="00B63635" w:rsidRDefault="00B63635">
            <w:pPr>
              <w:jc w:val="both"/>
            </w:pP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pPr>
              <w:jc w:val="both"/>
            </w:pPr>
            <w:r>
              <w:lastRenderedPageBreak/>
              <w:t>SECTION 5.  Section 130.008, Education Code, is amended by amending Subsection (f) and adding Subsection (g) to read as follows:</w:t>
            </w:r>
          </w:p>
          <w:p w:rsidR="00B63635" w:rsidRDefault="00162CC9">
            <w:pPr>
              <w:jc w:val="both"/>
            </w:pPr>
            <w:r>
              <w:t xml:space="preserve">(f)  Except as provided by </w:t>
            </w:r>
            <w:r>
              <w:rPr>
                <w:u w:val="single"/>
              </w:rPr>
              <w:t>Subsection (g)</w:t>
            </w:r>
            <w:r>
              <w:t xml:space="preserve"> [</w:t>
            </w:r>
            <w:r>
              <w:rPr>
                <w:strike/>
              </w:rPr>
              <w:t>this section</w:t>
            </w:r>
            <w:r>
              <w:t xml:space="preserve">], a </w:t>
            </w:r>
            <w:r>
              <w:rPr>
                <w:u w:val="single"/>
              </w:rPr>
              <w:t>public school</w:t>
            </w:r>
            <w:r>
              <w:t xml:space="preserve"> student may not enroll in more than three courses under this section at a junior college if the [</w:t>
            </w:r>
            <w:r>
              <w:rPr>
                <w:strike/>
              </w:rPr>
              <w:t>junior college does not have a</w:t>
            </w:r>
            <w:r>
              <w:t xml:space="preserve">] service area </w:t>
            </w:r>
            <w:r>
              <w:rPr>
                <w:u w:val="single"/>
              </w:rPr>
              <w:t>of another junior college</w:t>
            </w:r>
            <w:r>
              <w:t xml:space="preserve"> [</w:t>
            </w:r>
            <w:r>
              <w:rPr>
                <w:strike/>
              </w:rPr>
              <w:t>that</w:t>
            </w:r>
            <w:r>
              <w:t>] includes the student's high school.</w:t>
            </w:r>
          </w:p>
          <w:p w:rsidR="00B63635" w:rsidRDefault="00162CC9">
            <w:pPr>
              <w:jc w:val="both"/>
            </w:pPr>
            <w:r>
              <w:rPr>
                <w:u w:val="single"/>
              </w:rPr>
              <w:t>(g)  A public school student may enroll in a greater number of courses than provided by Subsection (f) if:</w:t>
            </w:r>
          </w:p>
          <w:p w:rsidR="00B63635" w:rsidRDefault="00162CC9">
            <w:pPr>
              <w:jc w:val="both"/>
            </w:pPr>
            <w:r>
              <w:rPr>
                <w:u w:val="single"/>
              </w:rPr>
              <w:t>(1)  each junior college and the school district in which the student is enrolled authorize by agreement the student's enrollment; or</w:t>
            </w:r>
          </w:p>
          <w:p w:rsidR="00B63635" w:rsidRDefault="00162CC9" w:rsidP="004C23BA">
            <w:pPr>
              <w:jc w:val="both"/>
            </w:pPr>
            <w:r>
              <w:rPr>
                <w:u w:val="single"/>
              </w:rPr>
              <w:t>(2)  the</w:t>
            </w:r>
            <w:r>
              <w:t xml:space="preserve"> [</w:t>
            </w:r>
            <w:r>
              <w:rPr>
                <w:strike/>
              </w:rPr>
              <w:t>A</w:t>
            </w:r>
            <w:r>
              <w:t xml:space="preserve">] student </w:t>
            </w:r>
            <w:r>
              <w:rPr>
                <w:u w:val="single"/>
              </w:rPr>
              <w:t>is</w:t>
            </w:r>
            <w:r>
              <w:t xml:space="preserve"> enrolled at an early college high school [</w:t>
            </w:r>
            <w:r>
              <w:rPr>
                <w:strike/>
              </w:rPr>
              <w:t>may enroll in a greater number of courses to the extent approved by the commissioner of education</w:t>
            </w:r>
            <w:r>
              <w:t>].</w:t>
            </w:r>
            <w:r w:rsidR="004C23BA">
              <w:t xml:space="preserve"> </w:t>
            </w:r>
          </w:p>
        </w:tc>
        <w:tc>
          <w:tcPr>
            <w:tcW w:w="6480" w:type="dxa"/>
          </w:tcPr>
          <w:p w:rsidR="00B63635" w:rsidRDefault="00162CC9">
            <w:pPr>
              <w:jc w:val="both"/>
            </w:pPr>
            <w:r w:rsidRPr="00A73869">
              <w:rPr>
                <w:highlight w:val="lightGray"/>
              </w:rPr>
              <w:t>No equivalent provision.</w:t>
            </w: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pPr>
              <w:jc w:val="both"/>
            </w:pPr>
            <w:r>
              <w:lastRenderedPageBreak/>
              <w:t>SECTION 6.  The following provisions of the Education Code are repealed:</w:t>
            </w:r>
          </w:p>
          <w:p w:rsidR="00B63635" w:rsidRDefault="00162CC9">
            <w:pPr>
              <w:jc w:val="both"/>
            </w:pPr>
            <w:r>
              <w:t>(1)  Section 39.023(o);</w:t>
            </w:r>
          </w:p>
          <w:p w:rsidR="00B63635" w:rsidRDefault="00162CC9">
            <w:pPr>
              <w:jc w:val="both"/>
            </w:pPr>
            <w:r>
              <w:t>(2)  Section 39.0233(c); and</w:t>
            </w:r>
          </w:p>
          <w:p w:rsidR="00B63635" w:rsidRDefault="00162CC9" w:rsidP="004C23BA">
            <w:pPr>
              <w:jc w:val="both"/>
            </w:pPr>
            <w:r>
              <w:t>(3)  Section 39.025(b-2).</w:t>
            </w:r>
          </w:p>
        </w:tc>
        <w:tc>
          <w:tcPr>
            <w:tcW w:w="6480" w:type="dxa"/>
          </w:tcPr>
          <w:p w:rsidR="00B63635" w:rsidRDefault="00162CC9">
            <w:pPr>
              <w:jc w:val="both"/>
            </w:pPr>
            <w:r>
              <w:t>SECTION 5. Same as House version.</w:t>
            </w:r>
          </w:p>
          <w:p w:rsidR="00B63635" w:rsidRDefault="00B63635">
            <w:pPr>
              <w:jc w:val="both"/>
            </w:pP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rsidP="004C23BA">
            <w:pPr>
              <w:jc w:val="both"/>
            </w:pPr>
            <w:r>
              <w:t>SECTION 7.  This Act applies beginning with the 2015-2016 school year.</w:t>
            </w:r>
          </w:p>
        </w:tc>
        <w:tc>
          <w:tcPr>
            <w:tcW w:w="6480" w:type="dxa"/>
          </w:tcPr>
          <w:p w:rsidR="00B63635" w:rsidRDefault="00162CC9">
            <w:pPr>
              <w:jc w:val="both"/>
            </w:pPr>
            <w:r>
              <w:t>SECTION 6. Same as House version.</w:t>
            </w:r>
          </w:p>
          <w:p w:rsidR="00B63635" w:rsidRDefault="00B63635">
            <w:pPr>
              <w:jc w:val="both"/>
            </w:pPr>
          </w:p>
        </w:tc>
        <w:tc>
          <w:tcPr>
            <w:tcW w:w="5760" w:type="dxa"/>
          </w:tcPr>
          <w:p w:rsidR="00B63635" w:rsidRDefault="00B63635">
            <w:pPr>
              <w:jc w:val="both"/>
            </w:pPr>
          </w:p>
        </w:tc>
      </w:tr>
      <w:tr w:rsidR="00B63635">
        <w:tc>
          <w:tcPr>
            <w:tcW w:w="6473" w:type="dxa"/>
          </w:tcPr>
          <w:p w:rsidR="00B63635" w:rsidRDefault="00162CC9" w:rsidP="004C23BA">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tc>
        <w:tc>
          <w:tcPr>
            <w:tcW w:w="6480" w:type="dxa"/>
          </w:tcPr>
          <w:p w:rsidR="00B63635" w:rsidRDefault="00162CC9">
            <w:pPr>
              <w:jc w:val="both"/>
            </w:pPr>
            <w:r>
              <w:t>SECTION 7. Same as House version.</w:t>
            </w:r>
          </w:p>
          <w:p w:rsidR="00B63635" w:rsidRDefault="00B63635">
            <w:pPr>
              <w:jc w:val="both"/>
            </w:pPr>
          </w:p>
        </w:tc>
        <w:tc>
          <w:tcPr>
            <w:tcW w:w="5760" w:type="dxa"/>
          </w:tcPr>
          <w:p w:rsidR="00B63635" w:rsidRDefault="00B63635">
            <w:pPr>
              <w:jc w:val="both"/>
            </w:pPr>
          </w:p>
        </w:tc>
      </w:tr>
    </w:tbl>
    <w:p w:rsidR="004124A6" w:rsidRDefault="004124A6"/>
    <w:sectPr w:rsidR="004124A6" w:rsidSect="00B636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35" w:rsidRDefault="00B63635" w:rsidP="00B63635">
      <w:r>
        <w:separator/>
      </w:r>
    </w:p>
  </w:endnote>
  <w:endnote w:type="continuationSeparator" w:id="0">
    <w:p w:rsidR="00B63635" w:rsidRDefault="00B63635" w:rsidP="00B6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78" w:rsidRDefault="00782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35" w:rsidRDefault="00391CCA">
    <w:pPr>
      <w:tabs>
        <w:tab w:val="center" w:pos="9360"/>
        <w:tab w:val="right" w:pos="18720"/>
      </w:tabs>
    </w:pPr>
    <w:r>
      <w:fldChar w:fldCharType="begin"/>
    </w:r>
    <w:r>
      <w:instrText xml:space="preserve"> DOCPROPERTY  CCRF  \* MERGEFORMAT </w:instrText>
    </w:r>
    <w:r>
      <w:fldChar w:fldCharType="separate"/>
    </w:r>
    <w:r w:rsidR="00782978">
      <w:t xml:space="preserve"> </w:t>
    </w:r>
    <w:r>
      <w:fldChar w:fldCharType="end"/>
    </w:r>
    <w:r w:rsidR="00162CC9">
      <w:tab/>
    </w:r>
    <w:r w:rsidR="00B63635">
      <w:fldChar w:fldCharType="begin"/>
    </w:r>
    <w:r w:rsidR="00162CC9">
      <w:instrText xml:space="preserve"> PAGE </w:instrText>
    </w:r>
    <w:r w:rsidR="00B63635">
      <w:fldChar w:fldCharType="separate"/>
    </w:r>
    <w:r>
      <w:rPr>
        <w:noProof/>
      </w:rPr>
      <w:t>1</w:t>
    </w:r>
    <w:r w:rsidR="00B63635">
      <w:fldChar w:fldCharType="end"/>
    </w:r>
    <w:r w:rsidR="00162CC9">
      <w:tab/>
    </w:r>
    <w:r>
      <w:fldChar w:fldCharType="begin"/>
    </w:r>
    <w:r>
      <w:instrText xml:space="preserve"> DOCPROPERTY  OTID  \* MERGEFORMAT </w:instrText>
    </w:r>
    <w:r>
      <w:fldChar w:fldCharType="separate"/>
    </w:r>
    <w:r w:rsidR="00782978">
      <w:t>15.147.849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78" w:rsidRDefault="00782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35" w:rsidRDefault="00B63635" w:rsidP="00B63635">
      <w:r>
        <w:separator/>
      </w:r>
    </w:p>
  </w:footnote>
  <w:footnote w:type="continuationSeparator" w:id="0">
    <w:p w:rsidR="00B63635" w:rsidRDefault="00B63635" w:rsidP="00B6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78" w:rsidRDefault="00782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78" w:rsidRDefault="00782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78" w:rsidRDefault="00782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35"/>
    <w:rsid w:val="00162CC9"/>
    <w:rsid w:val="00391CCA"/>
    <w:rsid w:val="004124A6"/>
    <w:rsid w:val="004C23BA"/>
    <w:rsid w:val="00782978"/>
    <w:rsid w:val="00A73869"/>
    <w:rsid w:val="00B6363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78"/>
    <w:pPr>
      <w:tabs>
        <w:tab w:val="center" w:pos="4680"/>
        <w:tab w:val="right" w:pos="9360"/>
      </w:tabs>
    </w:pPr>
  </w:style>
  <w:style w:type="character" w:customStyle="1" w:styleId="HeaderChar">
    <w:name w:val="Header Char"/>
    <w:basedOn w:val="DefaultParagraphFont"/>
    <w:link w:val="Header"/>
    <w:uiPriority w:val="99"/>
    <w:rsid w:val="00782978"/>
    <w:rPr>
      <w:sz w:val="22"/>
    </w:rPr>
  </w:style>
  <w:style w:type="paragraph" w:styleId="Footer">
    <w:name w:val="footer"/>
    <w:basedOn w:val="Normal"/>
    <w:link w:val="FooterChar"/>
    <w:uiPriority w:val="99"/>
    <w:unhideWhenUsed/>
    <w:rsid w:val="00782978"/>
    <w:pPr>
      <w:tabs>
        <w:tab w:val="center" w:pos="4680"/>
        <w:tab w:val="right" w:pos="9360"/>
      </w:tabs>
    </w:pPr>
  </w:style>
  <w:style w:type="character" w:customStyle="1" w:styleId="FooterChar">
    <w:name w:val="Footer Char"/>
    <w:basedOn w:val="DefaultParagraphFont"/>
    <w:link w:val="Footer"/>
    <w:uiPriority w:val="99"/>
    <w:rsid w:val="007829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78"/>
    <w:pPr>
      <w:tabs>
        <w:tab w:val="center" w:pos="4680"/>
        <w:tab w:val="right" w:pos="9360"/>
      </w:tabs>
    </w:pPr>
  </w:style>
  <w:style w:type="character" w:customStyle="1" w:styleId="HeaderChar">
    <w:name w:val="Header Char"/>
    <w:basedOn w:val="DefaultParagraphFont"/>
    <w:link w:val="Header"/>
    <w:uiPriority w:val="99"/>
    <w:rsid w:val="00782978"/>
    <w:rPr>
      <w:sz w:val="22"/>
    </w:rPr>
  </w:style>
  <w:style w:type="paragraph" w:styleId="Footer">
    <w:name w:val="footer"/>
    <w:basedOn w:val="Normal"/>
    <w:link w:val="FooterChar"/>
    <w:uiPriority w:val="99"/>
    <w:unhideWhenUsed/>
    <w:rsid w:val="00782978"/>
    <w:pPr>
      <w:tabs>
        <w:tab w:val="center" w:pos="4680"/>
        <w:tab w:val="right" w:pos="9360"/>
      </w:tabs>
    </w:pPr>
  </w:style>
  <w:style w:type="character" w:customStyle="1" w:styleId="FooterChar">
    <w:name w:val="Footer Char"/>
    <w:basedOn w:val="DefaultParagraphFont"/>
    <w:link w:val="Footer"/>
    <w:uiPriority w:val="99"/>
    <w:rsid w:val="007829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HB2349-SAA</vt:lpstr>
    </vt:vector>
  </TitlesOfParts>
  <Company>Texas Legislative Council</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HB2349-SAA</dc:title>
  <dc:creator>AMM</dc:creator>
  <cp:lastModifiedBy>ALO</cp:lastModifiedBy>
  <cp:revision>2</cp:revision>
  <dcterms:created xsi:type="dcterms:W3CDTF">2015-05-28T01:54:00Z</dcterms:created>
  <dcterms:modified xsi:type="dcterms:W3CDTF">2015-05-28T01:54:00Z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15.147.849</vt:lpwstr>
  </property>
  <property fmtid="{D5CDD505-2E9C-101B-9397-08002B2CF9AE}" pid="3" name="CCRF">
    <vt:lpwstr> </vt:lpwstr>
  </property>
</Properties>
</file>