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0662C" w:rsidTr="00345119">
        <w:tc>
          <w:tcPr>
            <w:tcW w:w="9576" w:type="dxa"/>
            <w:noWrap/>
          </w:tcPr>
          <w:p w:rsidR="008423E4" w:rsidRPr="0022177D" w:rsidRDefault="005C6B58" w:rsidP="00345119">
            <w:pPr>
              <w:pStyle w:val="Heading1"/>
            </w:pPr>
            <w:bookmarkStart w:id="0" w:name="_GoBack"/>
            <w:bookmarkEnd w:id="0"/>
            <w:r w:rsidRPr="00631897">
              <w:t>BILL ANALYSIS</w:t>
            </w:r>
          </w:p>
        </w:tc>
      </w:tr>
    </w:tbl>
    <w:p w:rsidR="008423E4" w:rsidRPr="0022177D" w:rsidRDefault="005C6B58" w:rsidP="008423E4">
      <w:pPr>
        <w:jc w:val="center"/>
      </w:pPr>
    </w:p>
    <w:p w:rsidR="008423E4" w:rsidRPr="00B31F0E" w:rsidRDefault="005C6B58" w:rsidP="008423E4"/>
    <w:p w:rsidR="008423E4" w:rsidRPr="00742794" w:rsidRDefault="005C6B58" w:rsidP="008423E4">
      <w:pPr>
        <w:tabs>
          <w:tab w:val="right" w:pos="9360"/>
        </w:tabs>
      </w:pPr>
    </w:p>
    <w:tbl>
      <w:tblPr>
        <w:tblW w:w="0" w:type="auto"/>
        <w:tblLayout w:type="fixed"/>
        <w:tblLook w:val="01E0" w:firstRow="1" w:lastRow="1" w:firstColumn="1" w:lastColumn="1" w:noHBand="0" w:noVBand="0"/>
      </w:tblPr>
      <w:tblGrid>
        <w:gridCol w:w="9576"/>
      </w:tblGrid>
      <w:tr w:rsidR="0020662C" w:rsidTr="00345119">
        <w:tc>
          <w:tcPr>
            <w:tcW w:w="9576" w:type="dxa"/>
          </w:tcPr>
          <w:p w:rsidR="008423E4" w:rsidRPr="00861995" w:rsidRDefault="005C6B58" w:rsidP="00345119">
            <w:pPr>
              <w:jc w:val="right"/>
            </w:pPr>
            <w:r>
              <w:t>H.B. 1</w:t>
            </w:r>
          </w:p>
        </w:tc>
      </w:tr>
      <w:tr w:rsidR="0020662C" w:rsidTr="00345119">
        <w:tc>
          <w:tcPr>
            <w:tcW w:w="9576" w:type="dxa"/>
          </w:tcPr>
          <w:p w:rsidR="008423E4" w:rsidRPr="00861995" w:rsidRDefault="005C6B58" w:rsidP="00345119">
            <w:pPr>
              <w:jc w:val="right"/>
            </w:pPr>
            <w:r>
              <w:t xml:space="preserve">By: </w:t>
            </w:r>
            <w:r>
              <w:t>Gonzales, Larry</w:t>
            </w:r>
          </w:p>
        </w:tc>
      </w:tr>
      <w:tr w:rsidR="0020662C" w:rsidTr="00345119">
        <w:tc>
          <w:tcPr>
            <w:tcW w:w="9576" w:type="dxa"/>
          </w:tcPr>
          <w:p w:rsidR="008423E4" w:rsidRPr="00861995" w:rsidRDefault="005C6B58" w:rsidP="00345119">
            <w:pPr>
              <w:jc w:val="right"/>
            </w:pPr>
            <w:r>
              <w:t>State Affairs</w:t>
            </w:r>
          </w:p>
        </w:tc>
      </w:tr>
      <w:tr w:rsidR="0020662C" w:rsidTr="00345119">
        <w:tc>
          <w:tcPr>
            <w:tcW w:w="9576" w:type="dxa"/>
          </w:tcPr>
          <w:p w:rsidR="008423E4" w:rsidRDefault="005C6B58" w:rsidP="00345119">
            <w:pPr>
              <w:jc w:val="right"/>
            </w:pPr>
            <w:r>
              <w:t>Committee Report (Unamended)</w:t>
            </w:r>
          </w:p>
        </w:tc>
      </w:tr>
    </w:tbl>
    <w:p w:rsidR="008423E4" w:rsidRDefault="005C6B58" w:rsidP="008423E4">
      <w:pPr>
        <w:tabs>
          <w:tab w:val="right" w:pos="9360"/>
        </w:tabs>
      </w:pPr>
    </w:p>
    <w:p w:rsidR="008423E4" w:rsidRDefault="005C6B58" w:rsidP="008423E4"/>
    <w:p w:rsidR="008423E4" w:rsidRDefault="005C6B58" w:rsidP="008423E4"/>
    <w:tbl>
      <w:tblPr>
        <w:tblW w:w="0" w:type="auto"/>
        <w:tblCellMar>
          <w:left w:w="115" w:type="dxa"/>
          <w:right w:w="115" w:type="dxa"/>
        </w:tblCellMar>
        <w:tblLook w:val="01E0" w:firstRow="1" w:lastRow="1" w:firstColumn="1" w:lastColumn="1" w:noHBand="0" w:noVBand="0"/>
      </w:tblPr>
      <w:tblGrid>
        <w:gridCol w:w="9576"/>
      </w:tblGrid>
      <w:tr w:rsidR="0020662C" w:rsidTr="00345119">
        <w:tc>
          <w:tcPr>
            <w:tcW w:w="9576" w:type="dxa"/>
          </w:tcPr>
          <w:p w:rsidR="008423E4" w:rsidRPr="00A8133F" w:rsidRDefault="005C6B58" w:rsidP="00AE609F">
            <w:pPr>
              <w:rPr>
                <w:b/>
              </w:rPr>
            </w:pPr>
            <w:r w:rsidRPr="009C1E9A">
              <w:rPr>
                <w:b/>
                <w:u w:val="single"/>
              </w:rPr>
              <w:t>BACKGROUND AND PURPOSE</w:t>
            </w:r>
            <w:r>
              <w:rPr>
                <w:b/>
              </w:rPr>
              <w:t xml:space="preserve"> </w:t>
            </w:r>
          </w:p>
          <w:p w:rsidR="008423E4" w:rsidRDefault="005C6B58" w:rsidP="00AE609F"/>
          <w:p w:rsidR="008423E4" w:rsidRDefault="005C6B58" w:rsidP="005C0991">
            <w:pPr>
              <w:pStyle w:val="Header"/>
              <w:tabs>
                <w:tab w:val="clear" w:pos="4320"/>
                <w:tab w:val="clear" w:pos="8640"/>
              </w:tabs>
              <w:jc w:val="both"/>
            </w:pPr>
            <w:r w:rsidRPr="00984AA7">
              <w:t>The Texas Medical Board, the Texas State Board of Examiners of Psychologists, the Texas State Board of Examiners of Marriage and Family Therapists, the Texas State Board of Examiners of Professional Counselors, and the Texas State Board of Social Worker Ex</w:t>
            </w:r>
            <w:r w:rsidRPr="00984AA7">
              <w:t>aminers are subject to the Texas Sunset Act and will be abolished on September 1, 2017, unless continued by the legislature. H.B. 1 seeks to continue these licensing boards.</w:t>
            </w:r>
          </w:p>
          <w:p w:rsidR="008423E4" w:rsidRPr="00E26B13" w:rsidRDefault="005C6B58" w:rsidP="00AE609F">
            <w:pPr>
              <w:rPr>
                <w:b/>
              </w:rPr>
            </w:pPr>
          </w:p>
        </w:tc>
      </w:tr>
      <w:tr w:rsidR="0020662C" w:rsidTr="00345119">
        <w:tc>
          <w:tcPr>
            <w:tcW w:w="9576" w:type="dxa"/>
          </w:tcPr>
          <w:p w:rsidR="0017725B" w:rsidRDefault="005C6B58" w:rsidP="00AE609F">
            <w:pPr>
              <w:rPr>
                <w:b/>
                <w:u w:val="single"/>
              </w:rPr>
            </w:pPr>
            <w:r>
              <w:rPr>
                <w:b/>
                <w:u w:val="single"/>
              </w:rPr>
              <w:t>CRIMINAL JUSTICE IMPACT</w:t>
            </w:r>
          </w:p>
          <w:p w:rsidR="0017725B" w:rsidRDefault="005C6B58">
            <w:pPr>
              <w:rPr>
                <w:b/>
                <w:u w:val="single"/>
              </w:rPr>
            </w:pPr>
          </w:p>
          <w:p w:rsidR="00984AA7" w:rsidRPr="00984AA7" w:rsidRDefault="005C6B58" w:rsidP="005C0991">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rsidR="0017725B" w:rsidRPr="0017725B" w:rsidRDefault="005C6B58" w:rsidP="00AE609F">
            <w:pPr>
              <w:rPr>
                <w:b/>
                <w:u w:val="single"/>
              </w:rPr>
            </w:pPr>
          </w:p>
        </w:tc>
      </w:tr>
      <w:tr w:rsidR="0020662C" w:rsidTr="00345119">
        <w:tc>
          <w:tcPr>
            <w:tcW w:w="9576" w:type="dxa"/>
          </w:tcPr>
          <w:p w:rsidR="008423E4" w:rsidRPr="00A8133F" w:rsidRDefault="005C6B58" w:rsidP="00AE609F">
            <w:pPr>
              <w:rPr>
                <w:b/>
              </w:rPr>
            </w:pPr>
            <w:r w:rsidRPr="009C1E9A">
              <w:rPr>
                <w:b/>
                <w:u w:val="single"/>
              </w:rPr>
              <w:t>RULEMAKING AUTHORITY</w:t>
            </w:r>
            <w:r>
              <w:rPr>
                <w:b/>
              </w:rPr>
              <w:t xml:space="preserve"> </w:t>
            </w:r>
          </w:p>
          <w:p w:rsidR="008423E4" w:rsidRDefault="005C6B58"/>
          <w:p w:rsidR="00984AA7" w:rsidRDefault="005C6B58" w:rsidP="005C0991">
            <w:pPr>
              <w:pStyle w:val="Header"/>
              <w:tabs>
                <w:tab w:val="clear" w:pos="4320"/>
                <w:tab w:val="clear" w:pos="8640"/>
              </w:tabs>
              <w:jc w:val="both"/>
            </w:pPr>
            <w:r>
              <w:t>It is the comm</w:t>
            </w:r>
            <w:r>
              <w:t>ittee's opinion that this bill does not expressly grant any additional rulemaking authority to a state officer, department, agency, or institution.</w:t>
            </w:r>
          </w:p>
          <w:p w:rsidR="008423E4" w:rsidRPr="00E21FDC" w:rsidRDefault="005C6B58" w:rsidP="00AE609F">
            <w:pPr>
              <w:rPr>
                <w:b/>
              </w:rPr>
            </w:pPr>
          </w:p>
        </w:tc>
      </w:tr>
      <w:tr w:rsidR="0020662C" w:rsidTr="00345119">
        <w:tc>
          <w:tcPr>
            <w:tcW w:w="9576" w:type="dxa"/>
          </w:tcPr>
          <w:p w:rsidR="008423E4" w:rsidRPr="00A8133F" w:rsidRDefault="005C6B58" w:rsidP="00AE609F">
            <w:pPr>
              <w:rPr>
                <w:b/>
              </w:rPr>
            </w:pPr>
            <w:r w:rsidRPr="009C1E9A">
              <w:rPr>
                <w:b/>
                <w:u w:val="single"/>
              </w:rPr>
              <w:t>ANALYSIS</w:t>
            </w:r>
            <w:r>
              <w:rPr>
                <w:b/>
              </w:rPr>
              <w:t xml:space="preserve"> </w:t>
            </w:r>
          </w:p>
          <w:p w:rsidR="008423E4" w:rsidRDefault="005C6B58"/>
          <w:p w:rsidR="008423E4" w:rsidRDefault="005C6B58" w:rsidP="005C0991">
            <w:pPr>
              <w:pStyle w:val="Header"/>
              <w:tabs>
                <w:tab w:val="clear" w:pos="4320"/>
                <w:tab w:val="clear" w:pos="8640"/>
              </w:tabs>
              <w:jc w:val="both"/>
            </w:pPr>
            <w:r>
              <w:t xml:space="preserve">H.B. 1 amends the Occupations Code to </w:t>
            </w:r>
            <w:r w:rsidRPr="00BC211F">
              <w:t xml:space="preserve">postpone from September 1, 2017, to September 1, 2019, the date on which the Texas Medical Board, the Texas State Board of Examiners of Psychologists, the Texas State Board of Examiners of Marriage and Family Therapists, the Texas State Board of Examiners </w:t>
            </w:r>
            <w:r w:rsidRPr="00BC211F">
              <w:t xml:space="preserve">of Professional Counselors, and the Texas State Board of Social Worker Examiners are abolished </w:t>
            </w:r>
            <w:r>
              <w:t xml:space="preserve">and certain statutory provisions </w:t>
            </w:r>
            <w:r>
              <w:t xml:space="preserve">relating to those boards </w:t>
            </w:r>
            <w:r>
              <w:t xml:space="preserve">expire </w:t>
            </w:r>
            <w:r w:rsidRPr="00BC211F">
              <w:t>unless continued in existence as provided by the Texas Sunset Act.</w:t>
            </w:r>
          </w:p>
          <w:p w:rsidR="008423E4" w:rsidRPr="00835628" w:rsidRDefault="005C6B58" w:rsidP="00AE609F">
            <w:pPr>
              <w:rPr>
                <w:b/>
              </w:rPr>
            </w:pPr>
          </w:p>
        </w:tc>
      </w:tr>
      <w:tr w:rsidR="0020662C" w:rsidTr="00345119">
        <w:tc>
          <w:tcPr>
            <w:tcW w:w="9576" w:type="dxa"/>
          </w:tcPr>
          <w:p w:rsidR="008423E4" w:rsidRPr="00A8133F" w:rsidRDefault="005C6B58" w:rsidP="00AE609F">
            <w:pPr>
              <w:rPr>
                <w:b/>
              </w:rPr>
            </w:pPr>
            <w:r w:rsidRPr="009C1E9A">
              <w:rPr>
                <w:b/>
                <w:u w:val="single"/>
              </w:rPr>
              <w:t>EFFECTIVE DATE</w:t>
            </w:r>
            <w:r>
              <w:rPr>
                <w:b/>
              </w:rPr>
              <w:t xml:space="preserve"> </w:t>
            </w:r>
          </w:p>
          <w:p w:rsidR="008423E4" w:rsidRDefault="005C6B58"/>
          <w:p w:rsidR="008423E4" w:rsidRPr="003624F2" w:rsidRDefault="005C6B58" w:rsidP="005C0991">
            <w:pPr>
              <w:pStyle w:val="Header"/>
              <w:tabs>
                <w:tab w:val="clear" w:pos="4320"/>
                <w:tab w:val="clear" w:pos="8640"/>
              </w:tabs>
              <w:jc w:val="both"/>
            </w:pPr>
            <w:r>
              <w:t xml:space="preserve">On </w:t>
            </w:r>
            <w:r>
              <w:t>passage, or, if the bill does not receive the necessary vote, the 91st day after the last day of the legislative session.</w:t>
            </w:r>
          </w:p>
          <w:p w:rsidR="008423E4" w:rsidRPr="00233FDB" w:rsidRDefault="005C6B58" w:rsidP="00AE609F">
            <w:pPr>
              <w:rPr>
                <w:b/>
              </w:rPr>
            </w:pPr>
          </w:p>
        </w:tc>
      </w:tr>
    </w:tbl>
    <w:p w:rsidR="008423E4" w:rsidRPr="00BE0E75" w:rsidRDefault="005C6B58" w:rsidP="008423E4">
      <w:pPr>
        <w:spacing w:line="480" w:lineRule="auto"/>
        <w:jc w:val="both"/>
        <w:rPr>
          <w:rFonts w:ascii="Arial" w:hAnsi="Arial"/>
          <w:sz w:val="16"/>
          <w:szCs w:val="16"/>
        </w:rPr>
      </w:pPr>
    </w:p>
    <w:p w:rsidR="004108C3" w:rsidRPr="008423E4" w:rsidRDefault="005C6B5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6B58">
      <w:r>
        <w:separator/>
      </w:r>
    </w:p>
  </w:endnote>
  <w:endnote w:type="continuationSeparator" w:id="0">
    <w:p w:rsidR="00000000" w:rsidRDefault="005C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91" w:rsidRDefault="005C6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0662C" w:rsidTr="009C1E9A">
      <w:trPr>
        <w:cantSplit/>
      </w:trPr>
      <w:tc>
        <w:tcPr>
          <w:tcW w:w="0" w:type="pct"/>
        </w:tcPr>
        <w:p w:rsidR="00137D90" w:rsidRDefault="005C6B58" w:rsidP="009C1E9A">
          <w:pPr>
            <w:pStyle w:val="Footer"/>
            <w:tabs>
              <w:tab w:val="clear" w:pos="8640"/>
              <w:tab w:val="right" w:pos="9360"/>
            </w:tabs>
          </w:pPr>
        </w:p>
      </w:tc>
      <w:tc>
        <w:tcPr>
          <w:tcW w:w="2395" w:type="pct"/>
        </w:tcPr>
        <w:p w:rsidR="00137D90" w:rsidRDefault="005C6B58" w:rsidP="009C1E9A">
          <w:pPr>
            <w:pStyle w:val="Footer"/>
            <w:tabs>
              <w:tab w:val="clear" w:pos="8640"/>
              <w:tab w:val="right" w:pos="9360"/>
            </w:tabs>
          </w:pPr>
        </w:p>
        <w:p w:rsidR="001A4310" w:rsidRDefault="005C6B58" w:rsidP="009C1E9A">
          <w:pPr>
            <w:pStyle w:val="Footer"/>
            <w:tabs>
              <w:tab w:val="clear" w:pos="8640"/>
              <w:tab w:val="right" w:pos="9360"/>
            </w:tabs>
          </w:pPr>
        </w:p>
        <w:p w:rsidR="00137D90" w:rsidRDefault="005C6B58" w:rsidP="009C1E9A">
          <w:pPr>
            <w:pStyle w:val="Footer"/>
            <w:tabs>
              <w:tab w:val="clear" w:pos="8640"/>
              <w:tab w:val="right" w:pos="9360"/>
            </w:tabs>
          </w:pPr>
        </w:p>
      </w:tc>
      <w:tc>
        <w:tcPr>
          <w:tcW w:w="2453" w:type="pct"/>
        </w:tcPr>
        <w:p w:rsidR="00137D90" w:rsidRDefault="005C6B58" w:rsidP="009C1E9A">
          <w:pPr>
            <w:pStyle w:val="Footer"/>
            <w:tabs>
              <w:tab w:val="clear" w:pos="8640"/>
              <w:tab w:val="right" w:pos="9360"/>
            </w:tabs>
            <w:jc w:val="right"/>
          </w:pPr>
        </w:p>
      </w:tc>
    </w:tr>
    <w:tr w:rsidR="0020662C" w:rsidTr="009C1E9A">
      <w:trPr>
        <w:cantSplit/>
      </w:trPr>
      <w:tc>
        <w:tcPr>
          <w:tcW w:w="0" w:type="pct"/>
        </w:tcPr>
        <w:p w:rsidR="00EC379B" w:rsidRDefault="005C6B58" w:rsidP="009C1E9A">
          <w:pPr>
            <w:pStyle w:val="Footer"/>
            <w:tabs>
              <w:tab w:val="clear" w:pos="8640"/>
              <w:tab w:val="right" w:pos="9360"/>
            </w:tabs>
          </w:pPr>
        </w:p>
      </w:tc>
      <w:tc>
        <w:tcPr>
          <w:tcW w:w="2395" w:type="pct"/>
        </w:tcPr>
        <w:p w:rsidR="00EC379B" w:rsidRPr="009C1E9A" w:rsidRDefault="005C6B58" w:rsidP="009C1E9A">
          <w:pPr>
            <w:pStyle w:val="Footer"/>
            <w:tabs>
              <w:tab w:val="clear" w:pos="8640"/>
              <w:tab w:val="right" w:pos="9360"/>
            </w:tabs>
            <w:rPr>
              <w:rFonts w:ascii="Shruti" w:hAnsi="Shruti"/>
              <w:sz w:val="22"/>
            </w:rPr>
          </w:pPr>
          <w:r>
            <w:rPr>
              <w:rFonts w:ascii="Shruti" w:hAnsi="Shruti"/>
              <w:sz w:val="22"/>
            </w:rPr>
            <w:t>85S1 1010</w:t>
          </w:r>
        </w:p>
      </w:tc>
      <w:tc>
        <w:tcPr>
          <w:tcW w:w="2453" w:type="pct"/>
        </w:tcPr>
        <w:p w:rsidR="00EC379B" w:rsidRDefault="005C6B58" w:rsidP="009C1E9A">
          <w:pPr>
            <w:pStyle w:val="Footer"/>
            <w:tabs>
              <w:tab w:val="clear" w:pos="8640"/>
              <w:tab w:val="right" w:pos="9360"/>
            </w:tabs>
            <w:jc w:val="right"/>
          </w:pPr>
          <w:r>
            <w:fldChar w:fldCharType="begin"/>
          </w:r>
          <w:r>
            <w:instrText xml:space="preserve"> DOCPROPERTY  OTID  \* MERGEFORMAT </w:instrText>
          </w:r>
          <w:r>
            <w:fldChar w:fldCharType="separate"/>
          </w:r>
          <w:r>
            <w:t>17.199.162</w:t>
          </w:r>
          <w:r>
            <w:fldChar w:fldCharType="end"/>
          </w:r>
        </w:p>
      </w:tc>
    </w:tr>
    <w:tr w:rsidR="0020662C" w:rsidTr="009C1E9A">
      <w:trPr>
        <w:cantSplit/>
      </w:trPr>
      <w:tc>
        <w:tcPr>
          <w:tcW w:w="0" w:type="pct"/>
        </w:tcPr>
        <w:p w:rsidR="00EC379B" w:rsidRDefault="005C6B58" w:rsidP="009C1E9A">
          <w:pPr>
            <w:pStyle w:val="Footer"/>
            <w:tabs>
              <w:tab w:val="clear" w:pos="4320"/>
              <w:tab w:val="clear" w:pos="8640"/>
              <w:tab w:val="left" w:pos="2865"/>
            </w:tabs>
          </w:pPr>
        </w:p>
      </w:tc>
      <w:tc>
        <w:tcPr>
          <w:tcW w:w="2395" w:type="pct"/>
        </w:tcPr>
        <w:p w:rsidR="00EC379B" w:rsidRPr="009C1E9A" w:rsidRDefault="005C6B58" w:rsidP="009C1E9A">
          <w:pPr>
            <w:pStyle w:val="Footer"/>
            <w:tabs>
              <w:tab w:val="clear" w:pos="4320"/>
              <w:tab w:val="clear" w:pos="8640"/>
              <w:tab w:val="left" w:pos="2865"/>
            </w:tabs>
            <w:rPr>
              <w:rFonts w:ascii="Shruti" w:hAnsi="Shruti"/>
              <w:sz w:val="22"/>
            </w:rPr>
          </w:pPr>
        </w:p>
      </w:tc>
      <w:tc>
        <w:tcPr>
          <w:tcW w:w="2453" w:type="pct"/>
        </w:tcPr>
        <w:p w:rsidR="00EC379B" w:rsidRDefault="005C6B58" w:rsidP="006D504F">
          <w:pPr>
            <w:pStyle w:val="Footer"/>
            <w:rPr>
              <w:rStyle w:val="PageNumber"/>
            </w:rPr>
          </w:pPr>
        </w:p>
        <w:p w:rsidR="00EC379B" w:rsidRDefault="005C6B58" w:rsidP="009C1E9A">
          <w:pPr>
            <w:pStyle w:val="Footer"/>
            <w:tabs>
              <w:tab w:val="clear" w:pos="8640"/>
              <w:tab w:val="right" w:pos="9360"/>
            </w:tabs>
            <w:jc w:val="right"/>
          </w:pPr>
        </w:p>
      </w:tc>
    </w:tr>
    <w:tr w:rsidR="0020662C" w:rsidTr="009C1E9A">
      <w:trPr>
        <w:cantSplit/>
        <w:trHeight w:val="323"/>
      </w:trPr>
      <w:tc>
        <w:tcPr>
          <w:tcW w:w="0" w:type="pct"/>
          <w:gridSpan w:val="3"/>
        </w:tcPr>
        <w:p w:rsidR="00EC379B" w:rsidRDefault="005C6B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C6B58" w:rsidP="009C1E9A">
          <w:pPr>
            <w:pStyle w:val="Footer"/>
            <w:tabs>
              <w:tab w:val="clear" w:pos="8640"/>
              <w:tab w:val="right" w:pos="9360"/>
            </w:tabs>
            <w:jc w:val="center"/>
          </w:pPr>
        </w:p>
      </w:tc>
    </w:tr>
  </w:tbl>
  <w:p w:rsidR="00EC379B" w:rsidRPr="00FF6F72" w:rsidRDefault="005C6B5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91" w:rsidRDefault="005C6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6B58">
      <w:r>
        <w:separator/>
      </w:r>
    </w:p>
  </w:footnote>
  <w:footnote w:type="continuationSeparator" w:id="0">
    <w:p w:rsidR="00000000" w:rsidRDefault="005C6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91" w:rsidRDefault="005C6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91" w:rsidRDefault="005C6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91" w:rsidRDefault="005C6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C"/>
    <w:rsid w:val="0020662C"/>
    <w:rsid w:val="005C6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E58B2"/>
    <w:rPr>
      <w:sz w:val="16"/>
      <w:szCs w:val="16"/>
    </w:rPr>
  </w:style>
  <w:style w:type="paragraph" w:styleId="CommentText">
    <w:name w:val="annotation text"/>
    <w:basedOn w:val="Normal"/>
    <w:link w:val="CommentTextChar"/>
    <w:rsid w:val="00DE58B2"/>
    <w:rPr>
      <w:sz w:val="20"/>
      <w:szCs w:val="20"/>
    </w:rPr>
  </w:style>
  <w:style w:type="character" w:customStyle="1" w:styleId="CommentTextChar">
    <w:name w:val="Comment Text Char"/>
    <w:basedOn w:val="DefaultParagraphFont"/>
    <w:link w:val="CommentText"/>
    <w:rsid w:val="00DE58B2"/>
  </w:style>
  <w:style w:type="paragraph" w:styleId="CommentSubject">
    <w:name w:val="annotation subject"/>
    <w:basedOn w:val="CommentText"/>
    <w:next w:val="CommentText"/>
    <w:link w:val="CommentSubjectChar"/>
    <w:rsid w:val="00DE58B2"/>
    <w:rPr>
      <w:b/>
      <w:bCs/>
    </w:rPr>
  </w:style>
  <w:style w:type="character" w:customStyle="1" w:styleId="CommentSubjectChar">
    <w:name w:val="Comment Subject Char"/>
    <w:basedOn w:val="CommentTextChar"/>
    <w:link w:val="CommentSubject"/>
    <w:rsid w:val="00DE5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E58B2"/>
    <w:rPr>
      <w:sz w:val="16"/>
      <w:szCs w:val="16"/>
    </w:rPr>
  </w:style>
  <w:style w:type="paragraph" w:styleId="CommentText">
    <w:name w:val="annotation text"/>
    <w:basedOn w:val="Normal"/>
    <w:link w:val="CommentTextChar"/>
    <w:rsid w:val="00DE58B2"/>
    <w:rPr>
      <w:sz w:val="20"/>
      <w:szCs w:val="20"/>
    </w:rPr>
  </w:style>
  <w:style w:type="character" w:customStyle="1" w:styleId="CommentTextChar">
    <w:name w:val="Comment Text Char"/>
    <w:basedOn w:val="DefaultParagraphFont"/>
    <w:link w:val="CommentText"/>
    <w:rsid w:val="00DE58B2"/>
  </w:style>
  <w:style w:type="paragraph" w:styleId="CommentSubject">
    <w:name w:val="annotation subject"/>
    <w:basedOn w:val="CommentText"/>
    <w:next w:val="CommentText"/>
    <w:link w:val="CommentSubjectChar"/>
    <w:rsid w:val="00DE58B2"/>
    <w:rPr>
      <w:b/>
      <w:bCs/>
    </w:rPr>
  </w:style>
  <w:style w:type="character" w:customStyle="1" w:styleId="CommentSubjectChar">
    <w:name w:val="Comment Subject Char"/>
    <w:basedOn w:val="CommentTextChar"/>
    <w:link w:val="CommentSubject"/>
    <w:rsid w:val="00DE5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1423</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HB00001 (Committee Report (Unamended))</vt:lpstr>
    </vt:vector>
  </TitlesOfParts>
  <Company>State of Texas</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1010</dc:subject>
  <dc:creator>State of Texas</dc:creator>
  <dc:description>HB 1 by Gonzales, Larry-(H)State Affairs</dc:description>
  <cp:lastModifiedBy>Damian Duarte</cp:lastModifiedBy>
  <cp:revision>2</cp:revision>
  <cp:lastPrinted>2003-11-26T17:21:00Z</cp:lastPrinted>
  <dcterms:created xsi:type="dcterms:W3CDTF">2017-07-20T21:24:00Z</dcterms:created>
  <dcterms:modified xsi:type="dcterms:W3CDTF">2017-07-20T21:24:00Z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17.199.162</vt:lpwstr>
  </property>
</Properties>
</file>