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97480" w:rsidTr="00345119">
        <w:tc>
          <w:tcPr>
            <w:tcW w:w="9576" w:type="dxa"/>
            <w:noWrap/>
          </w:tcPr>
          <w:p w:rsidR="008423E4" w:rsidRPr="0022177D" w:rsidRDefault="00FC619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C619D" w:rsidP="008423E4">
      <w:pPr>
        <w:jc w:val="center"/>
      </w:pPr>
    </w:p>
    <w:p w:rsidR="008423E4" w:rsidRPr="00B31F0E" w:rsidRDefault="00FC619D" w:rsidP="008423E4"/>
    <w:p w:rsidR="008423E4" w:rsidRPr="00742794" w:rsidRDefault="00FC619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97480" w:rsidTr="00345119">
        <w:tc>
          <w:tcPr>
            <w:tcW w:w="9576" w:type="dxa"/>
          </w:tcPr>
          <w:p w:rsidR="008423E4" w:rsidRPr="00861995" w:rsidRDefault="00FC619D" w:rsidP="00345119">
            <w:pPr>
              <w:jc w:val="right"/>
            </w:pPr>
            <w:r>
              <w:t>C.S.H.B. 11</w:t>
            </w:r>
          </w:p>
        </w:tc>
      </w:tr>
      <w:tr w:rsidR="00F97480" w:rsidTr="00345119">
        <w:tc>
          <w:tcPr>
            <w:tcW w:w="9576" w:type="dxa"/>
          </w:tcPr>
          <w:p w:rsidR="008423E4" w:rsidRPr="00861995" w:rsidRDefault="00FC619D" w:rsidP="002074C4">
            <w:pPr>
              <w:jc w:val="right"/>
            </w:pPr>
            <w:r>
              <w:t xml:space="preserve">By: </w:t>
            </w:r>
            <w:r>
              <w:t>Thierry</w:t>
            </w:r>
          </w:p>
        </w:tc>
      </w:tr>
      <w:tr w:rsidR="00F97480" w:rsidTr="00345119">
        <w:tc>
          <w:tcPr>
            <w:tcW w:w="9576" w:type="dxa"/>
          </w:tcPr>
          <w:p w:rsidR="008423E4" w:rsidRPr="00861995" w:rsidRDefault="00FC619D" w:rsidP="00345119">
            <w:pPr>
              <w:jc w:val="right"/>
            </w:pPr>
            <w:r>
              <w:t>Public Health</w:t>
            </w:r>
          </w:p>
        </w:tc>
      </w:tr>
      <w:tr w:rsidR="00F97480" w:rsidTr="00345119">
        <w:tc>
          <w:tcPr>
            <w:tcW w:w="9576" w:type="dxa"/>
          </w:tcPr>
          <w:p w:rsidR="008423E4" w:rsidRDefault="00FC619D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C619D" w:rsidP="008423E4">
      <w:pPr>
        <w:tabs>
          <w:tab w:val="right" w:pos="9360"/>
        </w:tabs>
      </w:pPr>
    </w:p>
    <w:p w:rsidR="008423E4" w:rsidRDefault="00FC619D" w:rsidP="008423E4"/>
    <w:p w:rsidR="008423E4" w:rsidRDefault="00FC619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F97480" w:rsidTr="002074C4">
        <w:tc>
          <w:tcPr>
            <w:tcW w:w="9582" w:type="dxa"/>
          </w:tcPr>
          <w:p w:rsidR="008423E4" w:rsidRPr="00A8133F" w:rsidRDefault="00FC619D" w:rsidP="00F666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C619D" w:rsidP="00F6667C"/>
          <w:p w:rsidR="00DA0F3C" w:rsidRDefault="00FC619D" w:rsidP="00F6667C">
            <w:pPr>
              <w:pStyle w:val="Header"/>
              <w:jc w:val="both"/>
            </w:pPr>
            <w:r>
              <w:t>Concerns have been raised regarding t</w:t>
            </w:r>
            <w:r>
              <w:t xml:space="preserve">he </w:t>
            </w:r>
            <w:r>
              <w:t xml:space="preserve">high </w:t>
            </w:r>
            <w:r>
              <w:t xml:space="preserve">maternal mortality rate in Texas. </w:t>
            </w:r>
            <w:r>
              <w:t>Interested parties note that t</w:t>
            </w:r>
            <w:r>
              <w:t xml:space="preserve">he Maternal Mortality and </w:t>
            </w:r>
            <w:r>
              <w:t>Morbidity Task Force provid</w:t>
            </w:r>
            <w:r>
              <w:t>es</w:t>
            </w:r>
            <w:r>
              <w:t xml:space="preserve"> critical information on maternal mortality trends and demographics in Texas</w:t>
            </w:r>
            <w:r>
              <w:t xml:space="preserve"> and contend that</w:t>
            </w:r>
            <w:r>
              <w:t xml:space="preserve"> work </w:t>
            </w:r>
            <w:r>
              <w:t xml:space="preserve">still needs </w:t>
            </w:r>
            <w:r>
              <w:t>to be done</w:t>
            </w:r>
            <w:r>
              <w:t xml:space="preserve"> to more directly address the causes of pregnancy-related deaths in Texas</w:t>
            </w:r>
            <w:r>
              <w:t xml:space="preserve">. </w:t>
            </w:r>
            <w:r>
              <w:t>C.S.</w:t>
            </w:r>
            <w:r>
              <w:t>H.B. 11</w:t>
            </w:r>
            <w:r>
              <w:t xml:space="preserve"> </w:t>
            </w:r>
            <w:r>
              <w:t>seeks to facilitate</w:t>
            </w:r>
            <w:r>
              <w:t xml:space="preserve"> this </w:t>
            </w:r>
            <w:r>
              <w:t xml:space="preserve">work by postponing the date on which the task force is abolished and </w:t>
            </w:r>
            <w:r>
              <w:t>expanding the task force's duties</w:t>
            </w:r>
            <w:r>
              <w:t>.</w:t>
            </w:r>
            <w:r>
              <w:t xml:space="preserve"> </w:t>
            </w:r>
          </w:p>
          <w:p w:rsidR="00EC547A" w:rsidRPr="00E26B13" w:rsidRDefault="00FC619D" w:rsidP="00F6667C">
            <w:pPr>
              <w:pStyle w:val="Header"/>
              <w:jc w:val="both"/>
            </w:pPr>
          </w:p>
        </w:tc>
      </w:tr>
      <w:tr w:rsidR="00F97480" w:rsidTr="002074C4">
        <w:tc>
          <w:tcPr>
            <w:tcW w:w="9582" w:type="dxa"/>
          </w:tcPr>
          <w:p w:rsidR="0017725B" w:rsidRDefault="00FC619D" w:rsidP="00F666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C619D" w:rsidP="00F6667C">
            <w:pPr>
              <w:rPr>
                <w:b/>
                <w:u w:val="single"/>
              </w:rPr>
            </w:pPr>
          </w:p>
          <w:p w:rsidR="00D23AED" w:rsidRPr="00D23AED" w:rsidRDefault="00FC619D" w:rsidP="00F6667C">
            <w:pPr>
              <w:jc w:val="both"/>
            </w:pPr>
            <w:r>
              <w:t>It is the committee's opinion that this bill does not expressly create a criminal offense, increase the punishment for</w:t>
            </w:r>
            <w:r>
              <w:t xml:space="preserve"> an existing criminal offense or category of offenses, or change the eligibility of a person for community supervision, parole, or mandatory supervision.</w:t>
            </w:r>
          </w:p>
          <w:p w:rsidR="0017725B" w:rsidRPr="0017725B" w:rsidRDefault="00FC619D" w:rsidP="00F6667C">
            <w:pPr>
              <w:rPr>
                <w:b/>
                <w:u w:val="single"/>
              </w:rPr>
            </w:pPr>
          </w:p>
        </w:tc>
      </w:tr>
      <w:tr w:rsidR="00F97480" w:rsidTr="002074C4">
        <w:tc>
          <w:tcPr>
            <w:tcW w:w="9582" w:type="dxa"/>
          </w:tcPr>
          <w:p w:rsidR="008423E4" w:rsidRPr="00A8133F" w:rsidRDefault="00FC619D" w:rsidP="00F666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C619D" w:rsidP="00F6667C"/>
          <w:p w:rsidR="00D23AED" w:rsidRDefault="00FC619D" w:rsidP="00F666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</w:t>
            </w:r>
            <w:r>
              <w:t>additional rulemaking authority to a state officer, department, agency, or institution.</w:t>
            </w:r>
          </w:p>
          <w:p w:rsidR="008423E4" w:rsidRPr="00E21FDC" w:rsidRDefault="00FC619D" w:rsidP="00F6667C">
            <w:pPr>
              <w:rPr>
                <w:b/>
              </w:rPr>
            </w:pPr>
          </w:p>
        </w:tc>
      </w:tr>
      <w:tr w:rsidR="00F97480" w:rsidTr="002074C4">
        <w:tc>
          <w:tcPr>
            <w:tcW w:w="9582" w:type="dxa"/>
          </w:tcPr>
          <w:p w:rsidR="00F6667C" w:rsidRDefault="00FC619D" w:rsidP="002D230D">
            <w:pPr>
              <w:rPr>
                <w:b/>
                <w:u w:val="single"/>
              </w:rPr>
            </w:pPr>
            <w:r w:rsidRPr="009C1E9A">
              <w:rPr>
                <w:b/>
                <w:u w:val="single"/>
              </w:rPr>
              <w:t>ANALYSIS</w:t>
            </w:r>
          </w:p>
          <w:p w:rsidR="008423E4" w:rsidRDefault="00FC619D" w:rsidP="002D230D">
            <w:r>
              <w:rPr>
                <w:b/>
              </w:rPr>
              <w:t xml:space="preserve"> </w:t>
            </w:r>
          </w:p>
          <w:p w:rsidR="00C31E4B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</w:t>
            </w:r>
            <w:r>
              <w:t xml:space="preserve"> </w:t>
            </w:r>
            <w:r w:rsidRPr="004F5FCB">
              <w:t xml:space="preserve">amends the Health and Safety Code to </w:t>
            </w:r>
            <w:r>
              <w:t xml:space="preserve">expand the duties of </w:t>
            </w:r>
            <w:r w:rsidRPr="004F5FCB">
              <w:t xml:space="preserve">the Maternal Mortality and Morbidity Task Force to study and review </w:t>
            </w:r>
            <w:r>
              <w:t>certain topics by</w:t>
            </w:r>
            <w:r>
              <w:t xml:space="preserve"> requiring the task force to </w:t>
            </w:r>
            <w:r>
              <w:t xml:space="preserve">also </w:t>
            </w:r>
            <w:r>
              <w:t>collect data on those topics</w:t>
            </w:r>
            <w:r>
              <w:t xml:space="preserve"> and by including</w:t>
            </w:r>
            <w:r>
              <w:t xml:space="preserve"> among those topics </w:t>
            </w:r>
            <w:r>
              <w:t xml:space="preserve">trends, </w:t>
            </w:r>
            <w:r w:rsidRPr="004F5FCB">
              <w:t>rates</w:t>
            </w:r>
            <w:r>
              <w:t>,</w:t>
            </w:r>
            <w:r w:rsidRPr="004F5FCB">
              <w:t xml:space="preserve"> </w:t>
            </w:r>
            <w:r>
              <w:t>health conditions and factors, and</w:t>
            </w:r>
            <w:r w:rsidRPr="004F5FCB">
              <w:t xml:space="preserve"> disparities in pregnancy-related deaths</w:t>
            </w:r>
            <w:r>
              <w:t xml:space="preserve"> </w:t>
            </w:r>
            <w:r w:rsidRPr="004F5FCB">
              <w:t>and severe maternal morbidity</w:t>
            </w:r>
            <w:r>
              <w:t>;</w:t>
            </w:r>
            <w:r>
              <w:t xml:space="preserve"> </w:t>
            </w:r>
            <w:r>
              <w:t xml:space="preserve">the most prevalent </w:t>
            </w:r>
            <w:r w:rsidRPr="004F5FCB">
              <w:t>health conditions</w:t>
            </w:r>
            <w:r w:rsidRPr="004F5FCB">
              <w:t xml:space="preserve"> and factors that </w:t>
            </w:r>
            <w:r>
              <w:t xml:space="preserve">caused death </w:t>
            </w:r>
            <w:r>
              <w:t xml:space="preserve">in </w:t>
            </w:r>
            <w:r>
              <w:t>African American women</w:t>
            </w:r>
            <w:r w:rsidRPr="004F5FCB">
              <w:t xml:space="preserve"> as </w:t>
            </w:r>
            <w:r>
              <w:t>identified</w:t>
            </w:r>
            <w:r w:rsidRPr="004F5FCB">
              <w:t xml:space="preserve"> in the </w:t>
            </w:r>
            <w:r>
              <w:t xml:space="preserve">task force's </w:t>
            </w:r>
            <w:r w:rsidRPr="004F5FCB">
              <w:t>joint biennial report</w:t>
            </w:r>
            <w:r>
              <w:t>;</w:t>
            </w:r>
            <w:r>
              <w:t xml:space="preserve"> </w:t>
            </w:r>
            <w:r>
              <w:t xml:space="preserve">and best </w:t>
            </w:r>
            <w:r w:rsidRPr="00C31E4B">
              <w:t>practices and programs operating in other states that have reduced rates of pregnancy-related deaths</w:t>
            </w:r>
            <w:r w:rsidRPr="004F5FCB">
              <w:t xml:space="preserve">. </w:t>
            </w:r>
            <w:r>
              <w:t>The bill requires the task forc</w:t>
            </w:r>
            <w:r>
              <w:t xml:space="preserve">e to compare </w:t>
            </w:r>
            <w:r w:rsidRPr="00D078A6">
              <w:t>rates of pregnancy-related deaths based on the socioeconomic status of the mother</w:t>
            </w:r>
            <w:r>
              <w:t>.</w:t>
            </w:r>
          </w:p>
          <w:p w:rsidR="00C31E4B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</w:t>
            </w:r>
            <w:r w:rsidRPr="004F5FCB">
              <w:t xml:space="preserve"> gives </w:t>
            </w:r>
            <w:r>
              <w:t>the Department of State Health Services (</w:t>
            </w:r>
            <w:r w:rsidRPr="004F5FCB">
              <w:t>DSHS</w:t>
            </w:r>
            <w:r>
              <w:t>)</w:t>
            </w:r>
            <w:r w:rsidRPr="004F5FCB">
              <w:t xml:space="preserve"> the option of selecting all cases of pregnancy-related deaths for the task force to review to reflect a cross-section of pregnancy</w:t>
            </w:r>
            <w:r>
              <w:noBreakHyphen/>
            </w:r>
            <w:r w:rsidRPr="004F5FCB">
              <w:t>related deaths in Texas as an alternative to randomly selecting such cases. The bill specifies that the DSHS analysis of agg</w:t>
            </w:r>
            <w:r w:rsidRPr="004F5FCB">
              <w:t xml:space="preserve">regate data of severe maternal morbidity in Texas to identify any trends </w:t>
            </w:r>
            <w:r>
              <w:t>is</w:t>
            </w:r>
            <w:r w:rsidRPr="004F5FCB">
              <w:t xml:space="preserve"> a statistical analysis, extends that required analysis to data of pregnancy</w:t>
            </w:r>
            <w:r>
              <w:noBreakHyphen/>
            </w:r>
            <w:r w:rsidRPr="004F5FCB">
              <w:t>related deaths in Texas, and expands the purposes of the analysis to</w:t>
            </w:r>
            <w:r>
              <w:t xml:space="preserve"> include</w:t>
            </w:r>
            <w:r w:rsidRPr="004F5FCB">
              <w:t xml:space="preserve"> identifying rates or dispar</w:t>
            </w:r>
            <w:r w:rsidRPr="004F5FCB">
              <w:t>ities.</w:t>
            </w:r>
          </w:p>
          <w:p w:rsidR="00D23AED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D7CC3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</w:t>
            </w:r>
            <w:r>
              <w:t xml:space="preserve"> </w:t>
            </w:r>
            <w:r>
              <w:t xml:space="preserve">requires the Health and Human Services Commission (HHSC) </w:t>
            </w:r>
            <w:r>
              <w:t xml:space="preserve">to </w:t>
            </w:r>
            <w:r w:rsidRPr="00BD7CC3">
              <w:t xml:space="preserve">evaluate options for reducing pregnancy-related deaths, focusing on the most prevalent causes of pregnancy-related deaths as identified in the </w:t>
            </w:r>
            <w:r>
              <w:t xml:space="preserve">task force's </w:t>
            </w:r>
            <w:r w:rsidRPr="00BD7CC3">
              <w:t>joint biennial repor</w:t>
            </w:r>
            <w:r w:rsidRPr="00BD7CC3">
              <w:t>t, and for treating postpartum depression in economically disadvantaged women</w:t>
            </w:r>
            <w:r>
              <w:t>.</w:t>
            </w:r>
            <w:r>
              <w:t xml:space="preserve"> </w:t>
            </w:r>
            <w:r>
              <w:t>The bill requires HHSC</w:t>
            </w:r>
            <w:r>
              <w:t xml:space="preserve">, not later than </w:t>
            </w:r>
            <w:r w:rsidRPr="00BD7CC3">
              <w:t xml:space="preserve">December 1 of each even-numbered year, </w:t>
            </w:r>
            <w:r>
              <w:t xml:space="preserve">to </w:t>
            </w:r>
            <w:r w:rsidRPr="00BD7CC3">
              <w:t xml:space="preserve">submit </w:t>
            </w:r>
            <w:r>
              <w:t xml:space="preserve">a written report summarizing the efforts of HHSC and DSHS to accomplish those tasks </w:t>
            </w:r>
            <w:r w:rsidRPr="00BD7CC3">
              <w:t>to th</w:t>
            </w:r>
            <w:r w:rsidRPr="00BD7CC3">
              <w:t xml:space="preserve">e governor, the lieutenant governor, the speaker </w:t>
            </w:r>
            <w:r w:rsidRPr="00BD7CC3">
              <w:lastRenderedPageBreak/>
              <w:t>of the house of representatives, the Legislative Budget Board, and the appropriate standing committees of the legislature</w:t>
            </w:r>
            <w:r>
              <w:t xml:space="preserve">. </w:t>
            </w:r>
          </w:p>
          <w:p w:rsidR="00C31E4B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31E4B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11</w:t>
            </w:r>
            <w:r>
              <w:t xml:space="preserve"> </w:t>
            </w:r>
            <w:r w:rsidRPr="00C31E4B">
              <w:t>postpones from Septe</w:t>
            </w:r>
            <w:r>
              <w:t>mber 1, 2019</w:t>
            </w:r>
            <w:r w:rsidRPr="00C31E4B">
              <w:t xml:space="preserve">, to </w:t>
            </w:r>
            <w:r>
              <w:t>September 1, 2023</w:t>
            </w:r>
            <w:r w:rsidRPr="00C31E4B">
              <w:t>, the date on wh</w:t>
            </w:r>
            <w:r w:rsidRPr="00C31E4B">
              <w:t>ich the task force is abolished and provisions relating to the task force expire unless continued in existence as provided by the Texas Sunset Act.</w:t>
            </w:r>
            <w:r>
              <w:t xml:space="preserve"> </w:t>
            </w:r>
          </w:p>
          <w:p w:rsidR="008423E4" w:rsidRPr="00835628" w:rsidRDefault="00FC619D" w:rsidP="002D230D">
            <w:pPr>
              <w:rPr>
                <w:b/>
              </w:rPr>
            </w:pPr>
          </w:p>
        </w:tc>
      </w:tr>
      <w:tr w:rsidR="00F97480" w:rsidTr="002074C4">
        <w:tc>
          <w:tcPr>
            <w:tcW w:w="9582" w:type="dxa"/>
          </w:tcPr>
          <w:p w:rsidR="008423E4" w:rsidRPr="00A8133F" w:rsidRDefault="00FC619D" w:rsidP="002D230D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C619D" w:rsidP="002D230D"/>
          <w:p w:rsidR="008423E4" w:rsidRPr="003624F2" w:rsidRDefault="00FC619D" w:rsidP="002D230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the 91st day after the </w:t>
            </w:r>
            <w:r>
              <w:t>last day of the legislative session.</w:t>
            </w:r>
          </w:p>
          <w:p w:rsidR="008423E4" w:rsidRPr="00233FDB" w:rsidRDefault="00FC619D" w:rsidP="002D230D">
            <w:pPr>
              <w:rPr>
                <w:b/>
              </w:rPr>
            </w:pPr>
          </w:p>
        </w:tc>
      </w:tr>
      <w:tr w:rsidR="00F97480" w:rsidTr="002074C4">
        <w:tc>
          <w:tcPr>
            <w:tcW w:w="9582" w:type="dxa"/>
          </w:tcPr>
          <w:p w:rsidR="002074C4" w:rsidRDefault="00FC619D" w:rsidP="002D230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FB11F4" w:rsidRDefault="00FC619D" w:rsidP="002D230D">
            <w:pPr>
              <w:jc w:val="both"/>
            </w:pPr>
          </w:p>
          <w:p w:rsidR="00FB11F4" w:rsidRDefault="00FC619D" w:rsidP="002D230D">
            <w:pPr>
              <w:jc w:val="both"/>
            </w:pPr>
            <w:r>
              <w:t xml:space="preserve">While C.S.H.B. 11 may differ from the original in minor or nonsubstantive ways, the following comparison is organized and formatted in a manner that indicates the substantial </w:t>
            </w:r>
            <w:r>
              <w:t>differences between the introduced and committee substitute versions of the bill.</w:t>
            </w:r>
          </w:p>
          <w:p w:rsidR="00FB11F4" w:rsidRPr="00FF5887" w:rsidRDefault="00FC619D" w:rsidP="002D230D">
            <w:pPr>
              <w:jc w:val="both"/>
            </w:pPr>
          </w:p>
        </w:tc>
      </w:tr>
      <w:tr w:rsidR="00F97480" w:rsidTr="002074C4">
        <w:tc>
          <w:tcPr>
            <w:tcW w:w="9582" w:type="dxa"/>
          </w:tcPr>
          <w:tbl>
            <w:tblPr>
              <w:tblW w:w="9346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673"/>
            </w:tblGrid>
            <w:tr w:rsidR="00F97480" w:rsidTr="002074C4">
              <w:trPr>
                <w:cantSplit/>
                <w:tblHeader/>
              </w:trPr>
              <w:tc>
                <w:tcPr>
                  <w:tcW w:w="4673" w:type="dxa"/>
                  <w:tcMar>
                    <w:bottom w:w="188" w:type="dxa"/>
                  </w:tcMar>
                </w:tcPr>
                <w:p w:rsidR="002074C4" w:rsidRDefault="00FC619D" w:rsidP="002D230D">
                  <w:pPr>
                    <w:jc w:val="center"/>
                  </w:pPr>
                  <w:r>
                    <w:t>INTRODUCED</w:t>
                  </w:r>
                </w:p>
              </w:tc>
              <w:tc>
                <w:tcPr>
                  <w:tcW w:w="4673" w:type="dxa"/>
                  <w:tcMar>
                    <w:bottom w:w="188" w:type="dxa"/>
                  </w:tcMar>
                </w:tcPr>
                <w:p w:rsidR="002074C4" w:rsidRDefault="00FC619D" w:rsidP="002D230D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1.  This Act shall be known as the Texas Moms Matter Act.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1. Same as introduced version.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 xml:space="preserve">SECTION 2.  Section </w:t>
                  </w:r>
                  <w:r>
                    <w:t>34.005, Health and Safety Code, is amended to read as follows: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Sec. 34.005.  DUTIES OF TASK FORCE.  The task force shall: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(1)  study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[</w:t>
                  </w:r>
                  <w:r>
                    <w:rPr>
                      <w:strike/>
                    </w:rPr>
                    <w:t>and</w:t>
                  </w:r>
                  <w:r>
                    <w:t>] review</w:t>
                  </w:r>
                  <w:r>
                    <w:rPr>
                      <w:u w:val="single"/>
                    </w:rPr>
                    <w:t>, and collect data on</w:t>
                  </w:r>
                  <w:r>
                    <w:t>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(A)  cases of pregnancy-related deaths;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(B)  trends</w:t>
                  </w:r>
                  <w:r>
                    <w:rPr>
                      <w:u w:val="single"/>
                    </w:rPr>
                    <w:t>, rates, health conditions and</w:t>
                  </w:r>
                  <w:r>
                    <w:rPr>
                      <w:u w:val="single"/>
                    </w:rPr>
                    <w:t xml:space="preserve"> factors, and disparities</w:t>
                  </w:r>
                  <w:r>
                    <w:t xml:space="preserve"> in </w:t>
                  </w:r>
                  <w:r>
                    <w:rPr>
                      <w:u w:val="single"/>
                    </w:rPr>
                    <w:t>pregnancy-related deaths and</w:t>
                  </w:r>
                  <w:r>
                    <w:t xml:space="preserve"> severe maternal morbidity;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 xml:space="preserve">(C)  health conditions and factors that caused death in </w:t>
                  </w:r>
                  <w:r w:rsidRPr="00FB11F4">
                    <w:rPr>
                      <w:highlight w:val="lightGray"/>
                      <w:u w:val="single"/>
                    </w:rPr>
                    <w:t>the most at-risk population as determined in the Maternal Mortality and Morbidity Task Force and Department of Stat</w:t>
                  </w:r>
                  <w:r w:rsidRPr="00FB11F4">
                    <w:rPr>
                      <w:highlight w:val="lightGray"/>
                      <w:u w:val="single"/>
                    </w:rPr>
                    <w:t>e Health Services Joint Biennial Report (July 2016)</w:t>
                  </w:r>
                  <w:r>
                    <w:rPr>
                      <w:u w:val="single"/>
                    </w:rPr>
                    <w:t>; and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(D)  best practices and programs operating in other states that have reduced rates of pregnancy-related deaths;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 xml:space="preserve">(2)  </w:t>
                  </w:r>
                  <w:r>
                    <w:rPr>
                      <w:u w:val="single"/>
                    </w:rPr>
                    <w:t>compare rates of pregnancy-related deaths based on the socioeconomic status of the</w:t>
                  </w:r>
                  <w:r>
                    <w:rPr>
                      <w:u w:val="single"/>
                    </w:rPr>
                    <w:t xml:space="preserve"> mother;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(3)</w:t>
                  </w:r>
                  <w:r>
                    <w:t xml:space="preserve">  determine the feasibility of the task force studying cases of severe maternal morbidity; and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(4)</w:t>
                  </w:r>
                  <w:r>
                    <w:t xml:space="preserve"> [</w:t>
                  </w:r>
                  <w:r>
                    <w:rPr>
                      <w:strike/>
                    </w:rPr>
                    <w:t>(3)</w:t>
                  </w:r>
                  <w:r>
                    <w:t>]  make recommendations to help reduce the incidence of pregnancy-related deaths and severe maternal morbidity in this state.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 xml:space="preserve">SECTION 2.  </w:t>
                  </w:r>
                  <w:r>
                    <w:t>Section 34.005, Health and Safety Code, is amended to read as follows: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Sec. 34.005.  DUTIES OF TASK FORCE.  The task force shall: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(1)  study</w:t>
                  </w:r>
                  <w:r>
                    <w:rPr>
                      <w:u w:val="single"/>
                    </w:rPr>
                    <w:t>,</w:t>
                  </w:r>
                  <w:r>
                    <w:t xml:space="preserve"> [</w:t>
                  </w:r>
                  <w:r>
                    <w:rPr>
                      <w:strike/>
                    </w:rPr>
                    <w:t>and</w:t>
                  </w:r>
                  <w:r>
                    <w:t>] review</w:t>
                  </w:r>
                  <w:r>
                    <w:rPr>
                      <w:u w:val="single"/>
                    </w:rPr>
                    <w:t>, and collect data on</w:t>
                  </w:r>
                  <w:r>
                    <w:t>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(A)  cases of pregnancy-related deaths; [</w:t>
                  </w:r>
                  <w:r>
                    <w:rPr>
                      <w:strike/>
                    </w:rPr>
                    <w:t>and</w:t>
                  </w:r>
                  <w:r>
                    <w:t>]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(B)  trends</w:t>
                  </w:r>
                  <w:r>
                    <w:rPr>
                      <w:u w:val="single"/>
                    </w:rPr>
                    <w:t>, rates, health condit</w:t>
                  </w:r>
                  <w:r>
                    <w:rPr>
                      <w:u w:val="single"/>
                    </w:rPr>
                    <w:t>ions and factors, and disparities</w:t>
                  </w:r>
                  <w:r>
                    <w:t xml:space="preserve"> in </w:t>
                  </w:r>
                  <w:r>
                    <w:rPr>
                      <w:u w:val="single"/>
                    </w:rPr>
                    <w:t>pregnancy-related deaths and</w:t>
                  </w:r>
                  <w:r>
                    <w:t xml:space="preserve"> severe maternal morbidity;</w:t>
                  </w:r>
                </w:p>
                <w:p w:rsidR="002074C4" w:rsidRDefault="00FC619D" w:rsidP="002D230D">
                  <w:pPr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(C)  </w:t>
                  </w:r>
                  <w:r w:rsidRPr="00FB11F4">
                    <w:rPr>
                      <w:highlight w:val="lightGray"/>
                      <w:u w:val="single"/>
                    </w:rPr>
                    <w:t>the most prevalent</w:t>
                  </w:r>
                  <w:r>
                    <w:rPr>
                      <w:u w:val="single"/>
                    </w:rPr>
                    <w:t xml:space="preserve"> health conditions and factors that caused death in </w:t>
                  </w:r>
                  <w:r w:rsidRPr="00FB11F4">
                    <w:rPr>
                      <w:highlight w:val="lightGray"/>
                      <w:u w:val="single"/>
                    </w:rPr>
                    <w:t xml:space="preserve">African American women as identified in the task force's biennial report required under </w:t>
                  </w:r>
                  <w:r w:rsidRPr="00FB11F4">
                    <w:rPr>
                      <w:highlight w:val="lightGray"/>
                      <w:u w:val="single"/>
                    </w:rPr>
                    <w:t>Section 34.015</w:t>
                  </w:r>
                  <w:r>
                    <w:rPr>
                      <w:u w:val="single"/>
                    </w:rPr>
                    <w:t>; and</w:t>
                  </w:r>
                </w:p>
                <w:p w:rsidR="00820167" w:rsidRDefault="00FC619D" w:rsidP="002D230D">
                  <w:pPr>
                    <w:jc w:val="both"/>
                  </w:pP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(D)  best practices and programs operating in other states that have reduced rates of pregnancy-related deaths;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 xml:space="preserve">(2)  </w:t>
                  </w:r>
                  <w:r>
                    <w:rPr>
                      <w:u w:val="single"/>
                    </w:rPr>
                    <w:t>compare rates of pregnancy-related deaths based on the socioeconomic status of the mother;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(3)</w:t>
                  </w:r>
                  <w:r>
                    <w:t xml:space="preserve">  determine the feasibility of the task force studying cases of severe maternal morbidity; and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rPr>
                      <w:u w:val="single"/>
                    </w:rPr>
                    <w:t>(4)</w:t>
                  </w:r>
                  <w:r>
                    <w:t xml:space="preserve"> [</w:t>
                  </w:r>
                  <w:r>
                    <w:rPr>
                      <w:strike/>
                    </w:rPr>
                    <w:t>(3)</w:t>
                  </w:r>
                  <w:r>
                    <w:t>]  make recommendations to help reduce the incidence of pregnancy-related deaths and severe maternal morbidity in this state.</w:t>
                  </w: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3.  Sections 34.00</w:t>
                  </w:r>
                  <w:r>
                    <w:t>7(a) and (b), Health and Safety Code, are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3. Same as introduced version.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 w:rsidRPr="00FB11F4">
                    <w:rPr>
                      <w:highlight w:val="lightGray"/>
                    </w:rPr>
                    <w:lastRenderedPageBreak/>
                    <w:t>No equivalent provision.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4.  Section 34.015(b), Health and Safety Code, is amended to read as follows:</w:t>
                  </w:r>
                </w:p>
                <w:p w:rsidR="002074C4" w:rsidRDefault="00FC619D" w:rsidP="002D230D">
                  <w:pPr>
                    <w:jc w:val="both"/>
                  </w:pPr>
                  <w:r>
                    <w:t>(b)  The report must include the task force's recomm</w:t>
                  </w:r>
                  <w:r>
                    <w:t xml:space="preserve">endations under Section </w:t>
                  </w:r>
                  <w:r>
                    <w:rPr>
                      <w:u w:val="single"/>
                    </w:rPr>
                    <w:t>34.005(4)</w:t>
                  </w:r>
                  <w:r>
                    <w:t xml:space="preserve"> [</w:t>
                  </w:r>
                  <w:r>
                    <w:rPr>
                      <w:strike/>
                    </w:rPr>
                    <w:t>34.005(3)</w:t>
                  </w:r>
                  <w:r>
                    <w:t>].</w:t>
                  </w: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4.  Chapter 34, Health and Safety Code, is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5. Same as introduced version.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5.  Section 34.018, Health and Safety Code, is amended</w:t>
                  </w:r>
                  <w:r>
                    <w:t>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6. Same as introduced version.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</w:tr>
            <w:tr w:rsidR="00F97480" w:rsidTr="002074C4">
              <w:tc>
                <w:tcPr>
                  <w:tcW w:w="4673" w:type="dxa"/>
                  <w:tcMar>
                    <w:righ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6.  This Act takes effect immediately if it receives a vote of two-thirds of all the members elected to each house, as provided by Section 39, Article III, Texas Constitution.  If this Act does not receive the vote necessary for immediate effect, t</w:t>
                  </w:r>
                  <w:r>
                    <w:t>his Act takes effect on the 91st day after the last day of the legislative session.</w:t>
                  </w:r>
                </w:p>
              </w:tc>
              <w:tc>
                <w:tcPr>
                  <w:tcW w:w="4673" w:type="dxa"/>
                  <w:tcMar>
                    <w:left w:w="360" w:type="dxa"/>
                  </w:tcMar>
                </w:tcPr>
                <w:p w:rsidR="002074C4" w:rsidRDefault="00FC619D" w:rsidP="002D230D">
                  <w:pPr>
                    <w:jc w:val="both"/>
                  </w:pPr>
                  <w:r>
                    <w:t>SECTION 7. Same as introduced version.</w:t>
                  </w:r>
                </w:p>
                <w:p w:rsidR="002074C4" w:rsidRDefault="00FC619D" w:rsidP="002D230D">
                  <w:pPr>
                    <w:jc w:val="both"/>
                  </w:pPr>
                </w:p>
              </w:tc>
            </w:tr>
          </w:tbl>
          <w:p w:rsidR="002074C4" w:rsidRPr="009C1E9A" w:rsidRDefault="00FC619D" w:rsidP="002D230D">
            <w:pPr>
              <w:rPr>
                <w:b/>
                <w:u w:val="single"/>
              </w:rPr>
            </w:pPr>
          </w:p>
        </w:tc>
      </w:tr>
    </w:tbl>
    <w:p w:rsidR="008423E4" w:rsidRPr="00BE0E75" w:rsidRDefault="00FC619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C619D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619D">
      <w:r>
        <w:separator/>
      </w:r>
    </w:p>
  </w:endnote>
  <w:endnote w:type="continuationSeparator" w:id="0">
    <w:p w:rsidR="00000000" w:rsidRDefault="00FC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2F" w:rsidRDefault="00FC61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97480" w:rsidTr="009C1E9A">
      <w:trPr>
        <w:cantSplit/>
      </w:trPr>
      <w:tc>
        <w:tcPr>
          <w:tcW w:w="0" w:type="pct"/>
        </w:tcPr>
        <w:p w:rsidR="00137D90" w:rsidRDefault="00FC619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C619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C619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C619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C61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7480" w:rsidTr="009C1E9A">
      <w:trPr>
        <w:cantSplit/>
      </w:trPr>
      <w:tc>
        <w:tcPr>
          <w:tcW w:w="0" w:type="pct"/>
        </w:tcPr>
        <w:p w:rsidR="00EC379B" w:rsidRDefault="00FC619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C619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85S1 2000</w:t>
          </w:r>
        </w:p>
      </w:tc>
      <w:tc>
        <w:tcPr>
          <w:tcW w:w="2453" w:type="pct"/>
        </w:tcPr>
        <w:p w:rsidR="00EC379B" w:rsidRDefault="00FC61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17.209.36</w:t>
          </w:r>
          <w:r>
            <w:fldChar w:fldCharType="end"/>
          </w:r>
        </w:p>
      </w:tc>
    </w:tr>
    <w:tr w:rsidR="00F97480" w:rsidTr="009C1E9A">
      <w:trPr>
        <w:cantSplit/>
      </w:trPr>
      <w:tc>
        <w:tcPr>
          <w:tcW w:w="0" w:type="pct"/>
        </w:tcPr>
        <w:p w:rsidR="00EC379B" w:rsidRDefault="00FC619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C619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85S1 1779</w:t>
          </w:r>
        </w:p>
      </w:tc>
      <w:tc>
        <w:tcPr>
          <w:tcW w:w="2453" w:type="pct"/>
        </w:tcPr>
        <w:p w:rsidR="00EC379B" w:rsidRDefault="00FC619D" w:rsidP="006D504F">
          <w:pPr>
            <w:pStyle w:val="Footer"/>
            <w:rPr>
              <w:rStyle w:val="PageNumber"/>
            </w:rPr>
          </w:pPr>
        </w:p>
        <w:p w:rsidR="00EC379B" w:rsidRDefault="00FC619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97480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C619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C619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C619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2F" w:rsidRDefault="00FC6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619D">
      <w:r>
        <w:separator/>
      </w:r>
    </w:p>
  </w:footnote>
  <w:footnote w:type="continuationSeparator" w:id="0">
    <w:p w:rsidR="00000000" w:rsidRDefault="00FC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2F" w:rsidRDefault="00FC61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2F" w:rsidRDefault="00FC61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52F" w:rsidRDefault="00FC6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80"/>
    <w:rsid w:val="00F97480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31E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1E4B"/>
  </w:style>
  <w:style w:type="paragraph" w:styleId="CommentSubject">
    <w:name w:val="annotation subject"/>
    <w:basedOn w:val="CommentText"/>
    <w:next w:val="CommentText"/>
    <w:link w:val="CommentSubjectChar"/>
    <w:rsid w:val="00C31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E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C31E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1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1E4B"/>
  </w:style>
  <w:style w:type="paragraph" w:styleId="CommentSubject">
    <w:name w:val="annotation subject"/>
    <w:basedOn w:val="CommentText"/>
    <w:next w:val="CommentText"/>
    <w:link w:val="CommentSubjectChar"/>
    <w:rsid w:val="00C31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1043</Words>
  <Characters>5772</Characters>
  <Application>Microsoft Office Word</Application>
  <DocSecurity>4</DocSecurity>
  <Lines>169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HB00011 (Committee Report (Substituted))</vt:lpstr>
    </vt:vector>
  </TitlesOfParts>
  <Company>State of Texas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85S1 2000</dc:subject>
  <dc:creator>State of Texas</dc:creator>
  <dc:description>HB 11 by Thierry-(H)Public Health (Substitute Document Number: 85S1 1779)</dc:description>
  <cp:lastModifiedBy>Alexander McMillan</cp:lastModifiedBy>
  <cp:revision>2</cp:revision>
  <cp:lastPrinted>2003-11-26T17:21:00Z</cp:lastPrinted>
  <dcterms:created xsi:type="dcterms:W3CDTF">2017-07-28T19:13:00Z</dcterms:created>
  <dcterms:modified xsi:type="dcterms:W3CDTF">2017-07-28T19:13:00Z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17.209.36</vt:lpwstr>
  </property>
</Properties>
</file>