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C52E8" w:rsidTr="00345119">
        <w:tc>
          <w:tcPr>
            <w:tcW w:w="9576" w:type="dxa"/>
            <w:noWrap/>
          </w:tcPr>
          <w:p w:rsidR="008423E4" w:rsidRPr="0022177D" w:rsidRDefault="001135D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135DB" w:rsidP="008423E4">
      <w:pPr>
        <w:jc w:val="center"/>
      </w:pPr>
    </w:p>
    <w:p w:rsidR="008423E4" w:rsidRPr="00B31F0E" w:rsidRDefault="001135DB" w:rsidP="008423E4"/>
    <w:p w:rsidR="008423E4" w:rsidRPr="00742794" w:rsidRDefault="001135D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C52E8" w:rsidTr="00345119">
        <w:tc>
          <w:tcPr>
            <w:tcW w:w="9576" w:type="dxa"/>
          </w:tcPr>
          <w:p w:rsidR="008423E4" w:rsidRPr="00861995" w:rsidRDefault="001135DB" w:rsidP="00345119">
            <w:pPr>
              <w:jc w:val="right"/>
            </w:pPr>
            <w:r>
              <w:t>H.B. 19</w:t>
            </w:r>
          </w:p>
        </w:tc>
      </w:tr>
      <w:tr w:rsidR="00BC52E8" w:rsidTr="00345119">
        <w:tc>
          <w:tcPr>
            <w:tcW w:w="9576" w:type="dxa"/>
          </w:tcPr>
          <w:p w:rsidR="008423E4" w:rsidRPr="00861995" w:rsidRDefault="001135DB" w:rsidP="00345119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BC52E8" w:rsidTr="00345119">
        <w:tc>
          <w:tcPr>
            <w:tcW w:w="9576" w:type="dxa"/>
          </w:tcPr>
          <w:p w:rsidR="008423E4" w:rsidRPr="00861995" w:rsidRDefault="001135DB" w:rsidP="00345119">
            <w:pPr>
              <w:jc w:val="right"/>
            </w:pPr>
            <w:r>
              <w:t>General Investigating &amp; Ethics</w:t>
            </w:r>
          </w:p>
        </w:tc>
      </w:tr>
      <w:tr w:rsidR="00BC52E8" w:rsidTr="00345119">
        <w:tc>
          <w:tcPr>
            <w:tcW w:w="9576" w:type="dxa"/>
          </w:tcPr>
          <w:p w:rsidR="008423E4" w:rsidRDefault="001135D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135DB" w:rsidP="008423E4">
      <w:pPr>
        <w:tabs>
          <w:tab w:val="right" w:pos="9360"/>
        </w:tabs>
      </w:pPr>
    </w:p>
    <w:p w:rsidR="008423E4" w:rsidRDefault="001135DB" w:rsidP="008423E4"/>
    <w:p w:rsidR="008423E4" w:rsidRDefault="001135D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C52E8" w:rsidTr="00345119">
        <w:tc>
          <w:tcPr>
            <w:tcW w:w="9576" w:type="dxa"/>
          </w:tcPr>
          <w:p w:rsidR="008423E4" w:rsidRPr="00A8133F" w:rsidRDefault="001135DB" w:rsidP="00D81E7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135DB" w:rsidP="00D81E76"/>
          <w:p w:rsidR="008423E4" w:rsidRDefault="001135DB" w:rsidP="00D81E76">
            <w:pPr>
              <w:pStyle w:val="Header"/>
              <w:jc w:val="both"/>
            </w:pPr>
            <w:r>
              <w:t xml:space="preserve">Interested parties note that state law does not currently restrict political contributions </w:t>
            </w:r>
            <w:r>
              <w:t xml:space="preserve">during certain periods </w:t>
            </w:r>
            <w:r>
              <w:t>before, during, or following a special legislative session and contend that such restrictions are needed to ensure ethical behavior in the same manner as provided during a regular legislative session. H.B. 19 seeks to enact these restrictions.</w:t>
            </w:r>
          </w:p>
          <w:p w:rsidR="008423E4" w:rsidRPr="00E26B13" w:rsidRDefault="001135DB" w:rsidP="00D81E76">
            <w:pPr>
              <w:rPr>
                <w:b/>
              </w:rPr>
            </w:pPr>
          </w:p>
        </w:tc>
      </w:tr>
      <w:tr w:rsidR="00BC52E8" w:rsidTr="00345119">
        <w:tc>
          <w:tcPr>
            <w:tcW w:w="9576" w:type="dxa"/>
          </w:tcPr>
          <w:p w:rsidR="0017725B" w:rsidRDefault="001135DB" w:rsidP="00D81E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</w:t>
            </w:r>
            <w:r>
              <w:rPr>
                <w:b/>
                <w:u w:val="single"/>
              </w:rPr>
              <w:t>USTICE IMPACT</w:t>
            </w:r>
          </w:p>
          <w:p w:rsidR="0017725B" w:rsidRDefault="001135DB" w:rsidP="00D81E76">
            <w:pPr>
              <w:rPr>
                <w:b/>
                <w:u w:val="single"/>
              </w:rPr>
            </w:pPr>
          </w:p>
          <w:p w:rsidR="00AF1E3F" w:rsidRPr="00AF1E3F" w:rsidRDefault="001135DB" w:rsidP="00D81E76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the eligibility of a person f</w:t>
            </w:r>
            <w:r>
              <w:t>or community supervision, parole, or mandatory supervision.</w:t>
            </w:r>
          </w:p>
          <w:p w:rsidR="0017725B" w:rsidRPr="0017725B" w:rsidRDefault="001135DB" w:rsidP="00D81E76">
            <w:pPr>
              <w:rPr>
                <w:b/>
                <w:u w:val="single"/>
              </w:rPr>
            </w:pPr>
          </w:p>
        </w:tc>
      </w:tr>
      <w:tr w:rsidR="00BC52E8" w:rsidTr="00345119">
        <w:tc>
          <w:tcPr>
            <w:tcW w:w="9576" w:type="dxa"/>
          </w:tcPr>
          <w:p w:rsidR="008423E4" w:rsidRPr="00A8133F" w:rsidRDefault="001135DB" w:rsidP="00D81E7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135DB" w:rsidP="00D81E76"/>
          <w:p w:rsidR="007109E7" w:rsidRDefault="001135DB" w:rsidP="00D81E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135DB" w:rsidP="00D81E76">
            <w:pPr>
              <w:rPr>
                <w:b/>
              </w:rPr>
            </w:pPr>
          </w:p>
        </w:tc>
      </w:tr>
      <w:tr w:rsidR="00BC52E8" w:rsidTr="00345119">
        <w:tc>
          <w:tcPr>
            <w:tcW w:w="9576" w:type="dxa"/>
          </w:tcPr>
          <w:p w:rsidR="008423E4" w:rsidRPr="00A8133F" w:rsidRDefault="001135DB" w:rsidP="00D81E7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135DB" w:rsidP="00D81E76"/>
          <w:p w:rsidR="008423E4" w:rsidRDefault="001135DB" w:rsidP="00D81E76">
            <w:pPr>
              <w:pStyle w:val="Header"/>
              <w:jc w:val="both"/>
            </w:pPr>
            <w:r>
              <w:t>H.B. 19 amends the Election Code to</w:t>
            </w:r>
            <w:r>
              <w:t xml:space="preserve"> </w:t>
            </w:r>
            <w:r>
              <w:t>prohibit a person</w:t>
            </w:r>
            <w:r>
              <w:t xml:space="preserve"> </w:t>
            </w:r>
            <w:r>
              <w:t xml:space="preserve">from </w:t>
            </w:r>
            <w:r>
              <w:t>k</w:t>
            </w:r>
            <w:r>
              <w:t xml:space="preserve">nowingly making </w:t>
            </w:r>
            <w:r w:rsidRPr="00827A28">
              <w:t>a political contribution</w:t>
            </w:r>
            <w:r w:rsidRPr="004F1DE3">
              <w:t xml:space="preserve"> during the period beginning on the date the governor issues a proclamation calling a special legislative session and continuing through the date of final adjournment of the special legis</w:t>
            </w:r>
            <w:r>
              <w:t>lative session</w:t>
            </w:r>
            <w:r w:rsidRPr="00827A28">
              <w:t xml:space="preserve"> to</w:t>
            </w:r>
            <w:r>
              <w:t xml:space="preserve"> </w:t>
            </w:r>
            <w:r>
              <w:t>a statewide officeholder other than the governor</w:t>
            </w:r>
            <w:r>
              <w:t>,</w:t>
            </w:r>
            <w:r>
              <w:t xml:space="preserve"> a</w:t>
            </w:r>
            <w:r>
              <w:t xml:space="preserve"> member of the legislature</w:t>
            </w:r>
            <w:r>
              <w:t>,</w:t>
            </w:r>
            <w:r>
              <w:t xml:space="preserve"> or a specific-purpose </w:t>
            </w:r>
            <w:r>
              <w:t xml:space="preserve">political </w:t>
            </w:r>
            <w:r>
              <w:t>committee for supporting, opposing, or assisting a statewide officeholder other than the governor</w:t>
            </w:r>
            <w:r>
              <w:t xml:space="preserve"> or a member of the legislature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bill prohibits a person from </w:t>
            </w:r>
            <w:r>
              <w:t xml:space="preserve">knowingly making </w:t>
            </w:r>
            <w:r w:rsidRPr="00827A28">
              <w:t>a political cont</w:t>
            </w:r>
            <w:r w:rsidRPr="00827A28">
              <w:t>ribution</w:t>
            </w:r>
            <w:r>
              <w:t xml:space="preserve"> during </w:t>
            </w:r>
            <w:r w:rsidRPr="008C2AD3">
              <w:t>the period beginning on the date the governor issues a proclamation calling a special legislative session and continuing through the 20th day after the date of final adjournment of t</w:t>
            </w:r>
            <w:r>
              <w:t>he special legislative session</w:t>
            </w:r>
            <w:r w:rsidRPr="00827A28">
              <w:t xml:space="preserve"> to the governor or a specif</w:t>
            </w:r>
            <w:r w:rsidRPr="00827A28">
              <w:t xml:space="preserve">ic-purpose </w:t>
            </w:r>
            <w:r>
              <w:t xml:space="preserve">political </w:t>
            </w:r>
            <w:r w:rsidRPr="00827A28">
              <w:t>committee for supporting, opposing, or assisting the governor.</w:t>
            </w:r>
            <w:r>
              <w:t xml:space="preserve"> </w:t>
            </w:r>
            <w:r>
              <w:t xml:space="preserve">The bill includes these periods among the periods during which a </w:t>
            </w:r>
            <w:r w:rsidRPr="008C2AD3">
              <w:t xml:space="preserve">statewide officeholder, a member of the legislature, or a specific-purpose </w:t>
            </w:r>
            <w:r>
              <w:t xml:space="preserve">political </w:t>
            </w:r>
            <w:r w:rsidRPr="008C2AD3">
              <w:t>committee for supporti</w:t>
            </w:r>
            <w:r w:rsidRPr="008C2AD3">
              <w:t>ng, opposing, or assisting a statewide officeholder or member of the legislature</w:t>
            </w:r>
            <w:r>
              <w:t xml:space="preserve"> is prohibited from </w:t>
            </w:r>
            <w:r>
              <w:t xml:space="preserve">knowingly </w:t>
            </w:r>
            <w:r>
              <w:t xml:space="preserve">accepting </w:t>
            </w:r>
            <w:r>
              <w:t xml:space="preserve">and </w:t>
            </w:r>
            <w:r>
              <w:t xml:space="preserve">is </w:t>
            </w:r>
            <w:r>
              <w:t xml:space="preserve">required to refuse </w:t>
            </w:r>
            <w:r>
              <w:t>a political contribution.</w:t>
            </w:r>
            <w:r>
              <w:t xml:space="preserve"> The bill subjects a political contribution otherwise prohibited under the bill's pro</w:t>
            </w:r>
            <w:r>
              <w:t>visions to the same exception applicable to a donation prohibited during and following a regular legislative session.</w:t>
            </w:r>
            <w:r>
              <w:t xml:space="preserve"> </w:t>
            </w:r>
            <w:r>
              <w:t>A violation of the bill's provisions is a Class A misdemeanor.</w:t>
            </w:r>
          </w:p>
          <w:p w:rsidR="008423E4" w:rsidRPr="00835628" w:rsidRDefault="001135DB" w:rsidP="00D81E76">
            <w:pPr>
              <w:rPr>
                <w:b/>
              </w:rPr>
            </w:pPr>
          </w:p>
        </w:tc>
      </w:tr>
      <w:tr w:rsidR="00BC52E8" w:rsidTr="00345119">
        <w:tc>
          <w:tcPr>
            <w:tcW w:w="9576" w:type="dxa"/>
          </w:tcPr>
          <w:p w:rsidR="008423E4" w:rsidRPr="00A8133F" w:rsidRDefault="001135DB" w:rsidP="00D81E7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135DB" w:rsidP="00D81E76"/>
          <w:p w:rsidR="008423E4" w:rsidRPr="003624F2" w:rsidRDefault="001135DB" w:rsidP="00D81E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December 1, 2017.</w:t>
            </w:r>
          </w:p>
          <w:p w:rsidR="008423E4" w:rsidRPr="00233FDB" w:rsidRDefault="001135DB" w:rsidP="00D81E76">
            <w:pPr>
              <w:rPr>
                <w:b/>
              </w:rPr>
            </w:pPr>
          </w:p>
        </w:tc>
      </w:tr>
    </w:tbl>
    <w:p w:rsidR="008423E4" w:rsidRPr="00BE0E75" w:rsidRDefault="001135D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135D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35DB">
      <w:r>
        <w:separator/>
      </w:r>
    </w:p>
  </w:endnote>
  <w:endnote w:type="continuationSeparator" w:id="0">
    <w:p w:rsidR="00000000" w:rsidRDefault="0011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0F" w:rsidRDefault="001135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C52E8" w:rsidTr="009C1E9A">
      <w:trPr>
        <w:cantSplit/>
      </w:trPr>
      <w:tc>
        <w:tcPr>
          <w:tcW w:w="0" w:type="pct"/>
        </w:tcPr>
        <w:p w:rsidR="00137D90" w:rsidRDefault="001135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135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135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135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135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52E8" w:rsidTr="009C1E9A">
      <w:trPr>
        <w:cantSplit/>
      </w:trPr>
      <w:tc>
        <w:tcPr>
          <w:tcW w:w="0" w:type="pct"/>
        </w:tcPr>
        <w:p w:rsidR="00EC379B" w:rsidRDefault="001135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135D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2283</w:t>
          </w:r>
        </w:p>
      </w:tc>
      <w:tc>
        <w:tcPr>
          <w:tcW w:w="2453" w:type="pct"/>
        </w:tcPr>
        <w:p w:rsidR="00EC379B" w:rsidRDefault="001135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17.214.472</w:t>
          </w:r>
          <w:r>
            <w:fldChar w:fldCharType="end"/>
          </w:r>
        </w:p>
      </w:tc>
    </w:tr>
    <w:tr w:rsidR="00BC52E8" w:rsidTr="009C1E9A">
      <w:trPr>
        <w:cantSplit/>
      </w:trPr>
      <w:tc>
        <w:tcPr>
          <w:tcW w:w="0" w:type="pct"/>
        </w:tcPr>
        <w:p w:rsidR="00EC379B" w:rsidRDefault="001135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135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135DB" w:rsidP="006D504F">
          <w:pPr>
            <w:pStyle w:val="Footer"/>
            <w:rPr>
              <w:rStyle w:val="PageNumber"/>
            </w:rPr>
          </w:pPr>
        </w:p>
        <w:p w:rsidR="00EC379B" w:rsidRDefault="001135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52E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135D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135D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135D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0F" w:rsidRDefault="00113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35DB">
      <w:r>
        <w:separator/>
      </w:r>
    </w:p>
  </w:footnote>
  <w:footnote w:type="continuationSeparator" w:id="0">
    <w:p w:rsidR="00000000" w:rsidRDefault="00113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0F" w:rsidRDefault="001135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0F" w:rsidRDefault="001135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0F" w:rsidRDefault="00113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E8"/>
    <w:rsid w:val="001135DB"/>
    <w:rsid w:val="00B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109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09E7"/>
  </w:style>
  <w:style w:type="paragraph" w:styleId="CommentSubject">
    <w:name w:val="annotation subject"/>
    <w:basedOn w:val="CommentText"/>
    <w:next w:val="CommentText"/>
    <w:link w:val="CommentSubjectChar"/>
    <w:rsid w:val="00710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0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109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09E7"/>
  </w:style>
  <w:style w:type="paragraph" w:styleId="CommentSubject">
    <w:name w:val="annotation subject"/>
    <w:basedOn w:val="CommentText"/>
    <w:next w:val="CommentText"/>
    <w:link w:val="CommentSubjectChar"/>
    <w:rsid w:val="00710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0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2211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HB00019 (Committee Report (Unamended))</vt:lpstr>
    </vt:vector>
  </TitlesOfParts>
  <Company>State of Texas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2283</dc:subject>
  <dc:creator>State of Texas</dc:creator>
  <dc:description>HB 19 by Davis, Sarah-(H)General Investigating &amp; Ethics</dc:description>
  <cp:lastModifiedBy>Alexander McMillan</cp:lastModifiedBy>
  <cp:revision>2</cp:revision>
  <cp:lastPrinted>2003-11-26T17:21:00Z</cp:lastPrinted>
  <dcterms:created xsi:type="dcterms:W3CDTF">2017-08-04T16:50:00Z</dcterms:created>
  <dcterms:modified xsi:type="dcterms:W3CDTF">2017-08-04T16:50:00Z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17.214.472</vt:lpwstr>
  </property>
</Properties>
</file>