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4F03" w:rsidTr="00345119">
        <w:tc>
          <w:tcPr>
            <w:tcW w:w="9576" w:type="dxa"/>
            <w:noWrap/>
          </w:tcPr>
          <w:p w:rsidR="008423E4" w:rsidRPr="0022177D" w:rsidRDefault="001C5B6E" w:rsidP="00345119">
            <w:pPr>
              <w:pStyle w:val="Heading1"/>
            </w:pPr>
            <w:bookmarkStart w:id="0" w:name="_GoBack"/>
            <w:bookmarkEnd w:id="0"/>
            <w:r w:rsidRPr="00631897">
              <w:t>BILL ANALYSIS</w:t>
            </w:r>
          </w:p>
        </w:tc>
      </w:tr>
    </w:tbl>
    <w:p w:rsidR="008423E4" w:rsidRPr="0022177D" w:rsidRDefault="001C5B6E" w:rsidP="008423E4">
      <w:pPr>
        <w:jc w:val="center"/>
      </w:pPr>
    </w:p>
    <w:p w:rsidR="008423E4" w:rsidRPr="00B31F0E" w:rsidRDefault="001C5B6E" w:rsidP="008423E4"/>
    <w:p w:rsidR="008423E4" w:rsidRPr="00742794" w:rsidRDefault="001C5B6E" w:rsidP="008423E4">
      <w:pPr>
        <w:tabs>
          <w:tab w:val="right" w:pos="9360"/>
        </w:tabs>
      </w:pPr>
    </w:p>
    <w:tbl>
      <w:tblPr>
        <w:tblW w:w="0" w:type="auto"/>
        <w:tblLayout w:type="fixed"/>
        <w:tblLook w:val="01E0" w:firstRow="1" w:lastRow="1" w:firstColumn="1" w:lastColumn="1" w:noHBand="0" w:noVBand="0"/>
      </w:tblPr>
      <w:tblGrid>
        <w:gridCol w:w="9576"/>
      </w:tblGrid>
      <w:tr w:rsidR="00D44F03" w:rsidTr="00345119">
        <w:tc>
          <w:tcPr>
            <w:tcW w:w="9576" w:type="dxa"/>
          </w:tcPr>
          <w:p w:rsidR="008423E4" w:rsidRPr="00861995" w:rsidRDefault="001C5B6E" w:rsidP="00345119">
            <w:pPr>
              <w:jc w:val="right"/>
            </w:pPr>
            <w:r>
              <w:t>H.B. 155</w:t>
            </w:r>
          </w:p>
        </w:tc>
      </w:tr>
      <w:tr w:rsidR="00D44F03" w:rsidTr="00345119">
        <w:tc>
          <w:tcPr>
            <w:tcW w:w="9576" w:type="dxa"/>
          </w:tcPr>
          <w:p w:rsidR="008423E4" w:rsidRPr="00861995" w:rsidRDefault="001C5B6E" w:rsidP="00345119">
            <w:pPr>
              <w:jc w:val="right"/>
            </w:pPr>
            <w:r>
              <w:t xml:space="preserve">By: </w:t>
            </w:r>
            <w:r>
              <w:t>Phelan</w:t>
            </w:r>
          </w:p>
        </w:tc>
      </w:tr>
      <w:tr w:rsidR="00D44F03" w:rsidTr="00345119">
        <w:tc>
          <w:tcPr>
            <w:tcW w:w="9576" w:type="dxa"/>
          </w:tcPr>
          <w:p w:rsidR="008423E4" w:rsidRPr="00861995" w:rsidRDefault="001C5B6E" w:rsidP="00345119">
            <w:pPr>
              <w:jc w:val="right"/>
            </w:pPr>
            <w:r>
              <w:t>Ways &amp; Means</w:t>
            </w:r>
          </w:p>
        </w:tc>
      </w:tr>
      <w:tr w:rsidR="00D44F03" w:rsidTr="00345119">
        <w:tc>
          <w:tcPr>
            <w:tcW w:w="9576" w:type="dxa"/>
          </w:tcPr>
          <w:p w:rsidR="008423E4" w:rsidRDefault="001C5B6E" w:rsidP="00345119">
            <w:pPr>
              <w:jc w:val="right"/>
            </w:pPr>
            <w:r>
              <w:t>Committee Report (Unamended)</w:t>
            </w:r>
          </w:p>
        </w:tc>
      </w:tr>
    </w:tbl>
    <w:p w:rsidR="008423E4" w:rsidRDefault="001C5B6E" w:rsidP="008423E4">
      <w:pPr>
        <w:tabs>
          <w:tab w:val="right" w:pos="9360"/>
        </w:tabs>
      </w:pPr>
    </w:p>
    <w:p w:rsidR="008423E4" w:rsidRDefault="001C5B6E" w:rsidP="008423E4"/>
    <w:p w:rsidR="008423E4" w:rsidRDefault="001C5B6E" w:rsidP="008423E4"/>
    <w:tbl>
      <w:tblPr>
        <w:tblW w:w="0" w:type="auto"/>
        <w:tblCellMar>
          <w:left w:w="115" w:type="dxa"/>
          <w:right w:w="115" w:type="dxa"/>
        </w:tblCellMar>
        <w:tblLook w:val="01E0" w:firstRow="1" w:lastRow="1" w:firstColumn="1" w:lastColumn="1" w:noHBand="0" w:noVBand="0"/>
      </w:tblPr>
      <w:tblGrid>
        <w:gridCol w:w="9576"/>
      </w:tblGrid>
      <w:tr w:rsidR="00D44F03" w:rsidTr="00345119">
        <w:tc>
          <w:tcPr>
            <w:tcW w:w="9576" w:type="dxa"/>
          </w:tcPr>
          <w:p w:rsidR="008423E4" w:rsidRPr="00A8133F" w:rsidRDefault="001C5B6E" w:rsidP="009A1DE1">
            <w:pPr>
              <w:rPr>
                <w:b/>
              </w:rPr>
            </w:pPr>
            <w:r w:rsidRPr="009C1E9A">
              <w:rPr>
                <w:b/>
                <w:u w:val="single"/>
              </w:rPr>
              <w:t>BACKGROUND AND PURPOSE</w:t>
            </w:r>
            <w:r>
              <w:rPr>
                <w:b/>
              </w:rPr>
              <w:t xml:space="preserve"> </w:t>
            </w:r>
          </w:p>
          <w:p w:rsidR="008423E4" w:rsidRDefault="001C5B6E" w:rsidP="009A1DE1"/>
          <w:p w:rsidR="008423E4" w:rsidRDefault="001C5B6E" w:rsidP="009A1DE1">
            <w:pPr>
              <w:pStyle w:val="Header"/>
              <w:jc w:val="both"/>
            </w:pPr>
            <w:r>
              <w:t xml:space="preserve">Concerns have been raised </w:t>
            </w:r>
            <w:r>
              <w:t xml:space="preserve">that current appraisal practices can lead to imprecise </w:t>
            </w:r>
            <w:r>
              <w:t>valuation</w:t>
            </w:r>
            <w:r>
              <w:t xml:space="preserve"> of properties based on prevailing characteristics</w:t>
            </w:r>
            <w:r>
              <w:t xml:space="preserve"> across an entire neighborhood</w:t>
            </w:r>
            <w:r>
              <w:t xml:space="preserve"> without regard to a particular property's unique features </w:t>
            </w:r>
            <w:r>
              <w:t xml:space="preserve">and </w:t>
            </w:r>
            <w:r>
              <w:t>without</w:t>
            </w:r>
            <w:r>
              <w:t xml:space="preserve"> a</w:t>
            </w:r>
            <w:r>
              <w:t>ny recourse for a</w:t>
            </w:r>
            <w:r>
              <w:t xml:space="preserve"> </w:t>
            </w:r>
            <w:r>
              <w:t>homeowner</w:t>
            </w:r>
            <w:r>
              <w:t xml:space="preserve"> to seek correction of </w:t>
            </w:r>
            <w:r>
              <w:t>the</w:t>
            </w:r>
            <w:r>
              <w:t xml:space="preserve"> </w:t>
            </w:r>
            <w:r>
              <w:t xml:space="preserve">appraised </w:t>
            </w:r>
            <w:r>
              <w:t xml:space="preserve">value </w:t>
            </w:r>
            <w:r>
              <w:t xml:space="preserve">if </w:t>
            </w:r>
            <w:r>
              <w:t>a subsequent sale</w:t>
            </w:r>
            <w:r>
              <w:t xml:space="preserve"> </w:t>
            </w:r>
            <w:r>
              <w:t xml:space="preserve">reveals </w:t>
            </w:r>
            <w:r>
              <w:t xml:space="preserve">the </w:t>
            </w:r>
            <w:r>
              <w:t>actual</w:t>
            </w:r>
            <w:r>
              <w:t xml:space="preserve"> market value to be</w:t>
            </w:r>
            <w:r>
              <w:t xml:space="preserve"> less than </w:t>
            </w:r>
            <w:r>
              <w:t>the value</w:t>
            </w:r>
            <w:r>
              <w:t xml:space="preserve"> </w:t>
            </w:r>
            <w:r>
              <w:t>as ap</w:t>
            </w:r>
            <w:r>
              <w:t xml:space="preserve">praised </w:t>
            </w:r>
            <w:r>
              <w:t>during the period of ownership</w:t>
            </w:r>
            <w:r>
              <w:t xml:space="preserve">. H.B. 155 seeks to </w:t>
            </w:r>
            <w:r>
              <w:t xml:space="preserve">address such a situation and </w:t>
            </w:r>
            <w:r>
              <w:t xml:space="preserve">increase confidence and fairness in the appraisal system by authorizing a change in the appraisal roll under certain conditions.   </w:t>
            </w:r>
          </w:p>
          <w:p w:rsidR="008423E4" w:rsidRPr="00E26B13" w:rsidRDefault="001C5B6E" w:rsidP="009A1DE1">
            <w:pPr>
              <w:rPr>
                <w:b/>
              </w:rPr>
            </w:pPr>
          </w:p>
        </w:tc>
      </w:tr>
      <w:tr w:rsidR="00D44F03" w:rsidTr="00345119">
        <w:tc>
          <w:tcPr>
            <w:tcW w:w="9576" w:type="dxa"/>
          </w:tcPr>
          <w:p w:rsidR="0017725B" w:rsidRDefault="001C5B6E" w:rsidP="009A1DE1">
            <w:pPr>
              <w:rPr>
                <w:b/>
                <w:u w:val="single"/>
              </w:rPr>
            </w:pPr>
            <w:r>
              <w:rPr>
                <w:b/>
                <w:u w:val="single"/>
              </w:rPr>
              <w:t>CRIMINAL JUSTICE IMPACT</w:t>
            </w:r>
          </w:p>
          <w:p w:rsidR="0017725B" w:rsidRDefault="001C5B6E" w:rsidP="009A1DE1">
            <w:pPr>
              <w:rPr>
                <w:b/>
                <w:u w:val="single"/>
              </w:rPr>
            </w:pPr>
          </w:p>
          <w:p w:rsidR="0017725B" w:rsidRPr="0017725B" w:rsidRDefault="001C5B6E" w:rsidP="009A1DE1">
            <w:pPr>
              <w:jc w:val="both"/>
            </w:pPr>
            <w:r w:rsidRPr="002C7810">
              <w:t xml:space="preserve">It is the </w:t>
            </w:r>
            <w:r w:rsidRPr="002C7810">
              <w:t>committee's opinion that this bill does not expressly create a criminal offense, increase the punishment for an existing criminal offense or category of offenses, or change the eligibility of a person for community supervision, parole, or mandatory supervi</w:t>
            </w:r>
            <w:r w:rsidRPr="002C7810">
              <w:t>sion.</w:t>
            </w:r>
          </w:p>
          <w:p w:rsidR="0017725B" w:rsidRPr="0017725B" w:rsidRDefault="001C5B6E" w:rsidP="009A1DE1">
            <w:pPr>
              <w:rPr>
                <w:b/>
                <w:u w:val="single"/>
              </w:rPr>
            </w:pPr>
          </w:p>
        </w:tc>
      </w:tr>
      <w:tr w:rsidR="00D44F03" w:rsidTr="00345119">
        <w:tc>
          <w:tcPr>
            <w:tcW w:w="9576" w:type="dxa"/>
          </w:tcPr>
          <w:p w:rsidR="008423E4" w:rsidRPr="00A8133F" w:rsidRDefault="001C5B6E" w:rsidP="009A1DE1">
            <w:pPr>
              <w:rPr>
                <w:b/>
              </w:rPr>
            </w:pPr>
            <w:r w:rsidRPr="009C1E9A">
              <w:rPr>
                <w:b/>
                <w:u w:val="single"/>
              </w:rPr>
              <w:t>RULEMAKING AUTHORITY</w:t>
            </w:r>
            <w:r>
              <w:rPr>
                <w:b/>
              </w:rPr>
              <w:t xml:space="preserve"> </w:t>
            </w:r>
          </w:p>
          <w:p w:rsidR="008423E4" w:rsidRDefault="001C5B6E" w:rsidP="009A1DE1"/>
          <w:p w:rsidR="008423E4" w:rsidRDefault="001C5B6E" w:rsidP="009A1DE1">
            <w:pPr>
              <w:pStyle w:val="Header"/>
              <w:tabs>
                <w:tab w:val="clear" w:pos="4320"/>
                <w:tab w:val="clear" w:pos="8640"/>
              </w:tabs>
              <w:jc w:val="both"/>
            </w:pPr>
            <w:r w:rsidRPr="002C7810">
              <w:t>It is the committee's opinion that this bill does not expressly grant any additional rulemaking authority to a state officer, department, agency, or institution.</w:t>
            </w:r>
          </w:p>
          <w:p w:rsidR="008423E4" w:rsidRPr="00E21FDC" w:rsidRDefault="001C5B6E" w:rsidP="009A1DE1">
            <w:pPr>
              <w:rPr>
                <w:b/>
              </w:rPr>
            </w:pPr>
          </w:p>
        </w:tc>
      </w:tr>
      <w:tr w:rsidR="00D44F03" w:rsidTr="00345119">
        <w:tc>
          <w:tcPr>
            <w:tcW w:w="9576" w:type="dxa"/>
          </w:tcPr>
          <w:p w:rsidR="008423E4" w:rsidRPr="00A8133F" w:rsidRDefault="001C5B6E" w:rsidP="009A1DE1">
            <w:pPr>
              <w:rPr>
                <w:b/>
              </w:rPr>
            </w:pPr>
            <w:r w:rsidRPr="009C1E9A">
              <w:rPr>
                <w:b/>
                <w:u w:val="single"/>
              </w:rPr>
              <w:t>ANALYSIS</w:t>
            </w:r>
            <w:r>
              <w:rPr>
                <w:b/>
              </w:rPr>
              <w:t xml:space="preserve"> </w:t>
            </w:r>
          </w:p>
          <w:p w:rsidR="008423E4" w:rsidRDefault="001C5B6E" w:rsidP="009A1DE1"/>
          <w:p w:rsidR="00254555" w:rsidRDefault="001C5B6E" w:rsidP="009A1DE1">
            <w:pPr>
              <w:pStyle w:val="Header"/>
              <w:tabs>
                <w:tab w:val="clear" w:pos="4320"/>
                <w:tab w:val="clear" w:pos="8640"/>
              </w:tabs>
              <w:jc w:val="both"/>
            </w:pPr>
            <w:r w:rsidRPr="002C7810">
              <w:t xml:space="preserve">H.B. </w:t>
            </w:r>
            <w:r>
              <w:t>155</w:t>
            </w:r>
            <w:r w:rsidRPr="002C7810">
              <w:t xml:space="preserve"> amends the Tax Code to authorize an appraisal review board, on motion of the chief appraiser or of a property owner, to direct by written order that the appraised value of the owner's property in the current tax year and either of the two preceding tax ye</w:t>
            </w:r>
            <w:r w:rsidRPr="002C7810">
              <w:t xml:space="preserve">ars be changed in the appraisal roll or related records to the sales price of the property in the current tax year if, for each tax year for which the change is to be made, the property qualifies as that owner's residence homestead, the sales price of the </w:t>
            </w:r>
            <w:r w:rsidRPr="002C7810">
              <w:t>property is at least 10 percent less than the appraised value of the property, and the board makes a finding that the sales price reflects the market value of the property. The bill entitles a party bringing such a motion to a hearing on and a determinatio</w:t>
            </w:r>
            <w:r w:rsidRPr="002C7810">
              <w:t>n of the motion by the board under certain conditions, authorizes the filing of such a motion regardless of whether the owner of the property protested an action relating to the value of the property that is the subject of the motion for a tax year to whic</w:t>
            </w:r>
            <w:r w:rsidRPr="002C7810">
              <w:t>h the motion relates, and requires the hearing on such a motion to be conducted in the manner provided by statutory provisions relating to taxpayer protest hearings.</w:t>
            </w:r>
            <w:r>
              <w:t xml:space="preserve"> </w:t>
            </w:r>
            <w:r>
              <w:t xml:space="preserve">Effective January 1, 2018, </w:t>
            </w:r>
            <w:r>
              <w:t xml:space="preserve">the bill makes a conforming change relating </w:t>
            </w:r>
            <w:r>
              <w:t>to</w:t>
            </w:r>
            <w:r>
              <w:t xml:space="preserve"> a</w:t>
            </w:r>
            <w:r w:rsidRPr="002C7810">
              <w:t xml:space="preserve"> </w:t>
            </w:r>
            <w:r>
              <w:t xml:space="preserve">party's right </w:t>
            </w:r>
            <w:r>
              <w:t xml:space="preserve">to request </w:t>
            </w:r>
            <w:r w:rsidRPr="002C7810">
              <w:t xml:space="preserve">a hearing on and a determination of </w:t>
            </w:r>
            <w:r>
              <w:t>a</w:t>
            </w:r>
            <w:r w:rsidRPr="002C7810">
              <w:t xml:space="preserve"> </w:t>
            </w:r>
            <w:r w:rsidRPr="002C7810">
              <w:t>motion by the appraisal review board.</w:t>
            </w:r>
          </w:p>
          <w:p w:rsidR="008423E4" w:rsidRPr="002C7810" w:rsidRDefault="001C5B6E" w:rsidP="009A1DE1">
            <w:pPr>
              <w:pStyle w:val="Header"/>
              <w:tabs>
                <w:tab w:val="clear" w:pos="4320"/>
                <w:tab w:val="clear" w:pos="8640"/>
              </w:tabs>
              <w:jc w:val="both"/>
            </w:pPr>
            <w:r>
              <w:t xml:space="preserve"> </w:t>
            </w:r>
          </w:p>
        </w:tc>
      </w:tr>
      <w:tr w:rsidR="00D44F03" w:rsidTr="00345119">
        <w:tc>
          <w:tcPr>
            <w:tcW w:w="9576" w:type="dxa"/>
          </w:tcPr>
          <w:p w:rsidR="008423E4" w:rsidRPr="00A8133F" w:rsidRDefault="001C5B6E" w:rsidP="009A1DE1">
            <w:pPr>
              <w:rPr>
                <w:b/>
              </w:rPr>
            </w:pPr>
            <w:r w:rsidRPr="009C1E9A">
              <w:rPr>
                <w:b/>
                <w:u w:val="single"/>
              </w:rPr>
              <w:t>EFFECTIVE DATE</w:t>
            </w:r>
            <w:r>
              <w:rPr>
                <w:b/>
              </w:rPr>
              <w:t xml:space="preserve"> </w:t>
            </w:r>
          </w:p>
          <w:p w:rsidR="008423E4" w:rsidRDefault="001C5B6E" w:rsidP="009A1DE1"/>
          <w:p w:rsidR="002C7810" w:rsidRPr="003624F2" w:rsidRDefault="001C5B6E" w:rsidP="009A1DE1">
            <w:pPr>
              <w:pStyle w:val="Header"/>
              <w:tabs>
                <w:tab w:val="clear" w:pos="4320"/>
                <w:tab w:val="clear" w:pos="8640"/>
              </w:tabs>
              <w:jc w:val="both"/>
            </w:pPr>
            <w:r>
              <w:t xml:space="preserve">Except as otherwise </w:t>
            </w:r>
            <w:r>
              <w:t>provided</w:t>
            </w:r>
            <w:r>
              <w:t>, o</w:t>
            </w:r>
            <w:r w:rsidRPr="002C7810">
              <w:t xml:space="preserve">n passage, or, if the bill does not receive the necessary vote, </w:t>
            </w:r>
            <w:r>
              <w:t xml:space="preserve">on the 91st day after the last day of the legislative </w:t>
            </w:r>
            <w:r>
              <w:t>session</w:t>
            </w:r>
            <w:r w:rsidRPr="002C7810">
              <w:t>.</w:t>
            </w:r>
          </w:p>
          <w:p w:rsidR="008423E4" w:rsidRPr="00233FDB" w:rsidRDefault="001C5B6E" w:rsidP="009A1DE1">
            <w:pPr>
              <w:rPr>
                <w:b/>
              </w:rPr>
            </w:pPr>
          </w:p>
        </w:tc>
      </w:tr>
    </w:tbl>
    <w:p w:rsidR="004108C3" w:rsidRPr="009A1DE1" w:rsidRDefault="001C5B6E" w:rsidP="008423E4">
      <w:pPr>
        <w:rPr>
          <w:sz w:val="2"/>
          <w:szCs w:val="2"/>
        </w:rPr>
      </w:pPr>
    </w:p>
    <w:sectPr w:rsidR="004108C3" w:rsidRPr="009A1DE1"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5B6E">
      <w:r>
        <w:separator/>
      </w:r>
    </w:p>
  </w:endnote>
  <w:endnote w:type="continuationSeparator" w:id="0">
    <w:p w:rsidR="00000000" w:rsidRDefault="001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4F03" w:rsidTr="009C1E9A">
      <w:trPr>
        <w:cantSplit/>
      </w:trPr>
      <w:tc>
        <w:tcPr>
          <w:tcW w:w="0" w:type="pct"/>
        </w:tcPr>
        <w:p w:rsidR="00137D90" w:rsidRDefault="001C5B6E" w:rsidP="009C1E9A">
          <w:pPr>
            <w:pStyle w:val="Footer"/>
            <w:tabs>
              <w:tab w:val="clear" w:pos="8640"/>
              <w:tab w:val="right" w:pos="9360"/>
            </w:tabs>
          </w:pPr>
        </w:p>
      </w:tc>
      <w:tc>
        <w:tcPr>
          <w:tcW w:w="2395" w:type="pct"/>
        </w:tcPr>
        <w:p w:rsidR="00137D90" w:rsidRDefault="001C5B6E" w:rsidP="009C1E9A">
          <w:pPr>
            <w:pStyle w:val="Footer"/>
            <w:tabs>
              <w:tab w:val="clear" w:pos="8640"/>
              <w:tab w:val="right" w:pos="9360"/>
            </w:tabs>
          </w:pPr>
        </w:p>
        <w:p w:rsidR="001A4310" w:rsidRDefault="001C5B6E" w:rsidP="009C1E9A">
          <w:pPr>
            <w:pStyle w:val="Footer"/>
            <w:tabs>
              <w:tab w:val="clear" w:pos="8640"/>
              <w:tab w:val="right" w:pos="9360"/>
            </w:tabs>
          </w:pPr>
        </w:p>
        <w:p w:rsidR="00137D90" w:rsidRDefault="001C5B6E" w:rsidP="009C1E9A">
          <w:pPr>
            <w:pStyle w:val="Footer"/>
            <w:tabs>
              <w:tab w:val="clear" w:pos="8640"/>
              <w:tab w:val="right" w:pos="9360"/>
            </w:tabs>
          </w:pPr>
        </w:p>
      </w:tc>
      <w:tc>
        <w:tcPr>
          <w:tcW w:w="2453" w:type="pct"/>
        </w:tcPr>
        <w:p w:rsidR="00137D90" w:rsidRDefault="001C5B6E" w:rsidP="009C1E9A">
          <w:pPr>
            <w:pStyle w:val="Footer"/>
            <w:tabs>
              <w:tab w:val="clear" w:pos="8640"/>
              <w:tab w:val="right" w:pos="9360"/>
            </w:tabs>
            <w:jc w:val="right"/>
          </w:pPr>
        </w:p>
      </w:tc>
    </w:tr>
    <w:tr w:rsidR="00D44F03" w:rsidTr="009C1E9A">
      <w:trPr>
        <w:cantSplit/>
      </w:trPr>
      <w:tc>
        <w:tcPr>
          <w:tcW w:w="0" w:type="pct"/>
        </w:tcPr>
        <w:p w:rsidR="00EC379B" w:rsidRDefault="001C5B6E" w:rsidP="009C1E9A">
          <w:pPr>
            <w:pStyle w:val="Footer"/>
            <w:tabs>
              <w:tab w:val="clear" w:pos="8640"/>
              <w:tab w:val="right" w:pos="9360"/>
            </w:tabs>
          </w:pPr>
        </w:p>
      </w:tc>
      <w:tc>
        <w:tcPr>
          <w:tcW w:w="2395" w:type="pct"/>
        </w:tcPr>
        <w:p w:rsidR="00EC379B" w:rsidRPr="009C1E9A" w:rsidRDefault="001C5B6E" w:rsidP="009C1E9A">
          <w:pPr>
            <w:pStyle w:val="Footer"/>
            <w:tabs>
              <w:tab w:val="clear" w:pos="8640"/>
              <w:tab w:val="right" w:pos="9360"/>
            </w:tabs>
            <w:rPr>
              <w:rFonts w:ascii="Shruti" w:hAnsi="Shruti"/>
              <w:sz w:val="22"/>
            </w:rPr>
          </w:pPr>
          <w:r>
            <w:rPr>
              <w:rFonts w:ascii="Shruti" w:hAnsi="Shruti"/>
              <w:sz w:val="22"/>
            </w:rPr>
            <w:t>85S1 1451</w:t>
          </w:r>
        </w:p>
      </w:tc>
      <w:tc>
        <w:tcPr>
          <w:tcW w:w="2453" w:type="pct"/>
        </w:tcPr>
        <w:p w:rsidR="00EC379B" w:rsidRDefault="001C5B6E" w:rsidP="009C1E9A">
          <w:pPr>
            <w:pStyle w:val="Footer"/>
            <w:tabs>
              <w:tab w:val="clear" w:pos="8640"/>
              <w:tab w:val="right" w:pos="9360"/>
            </w:tabs>
            <w:jc w:val="right"/>
          </w:pPr>
          <w:r>
            <w:fldChar w:fldCharType="begin"/>
          </w:r>
          <w:r>
            <w:instrText xml:space="preserve"> DOCPROPERTY  OTID  \* MERGEFORMAT </w:instrText>
          </w:r>
          <w:r>
            <w:fldChar w:fldCharType="separate"/>
          </w:r>
          <w:r>
            <w:t>17.205.689</w:t>
          </w:r>
          <w:r>
            <w:fldChar w:fldCharType="end"/>
          </w:r>
        </w:p>
      </w:tc>
    </w:tr>
    <w:tr w:rsidR="00D44F03" w:rsidTr="009C1E9A">
      <w:trPr>
        <w:cantSplit/>
      </w:trPr>
      <w:tc>
        <w:tcPr>
          <w:tcW w:w="0" w:type="pct"/>
        </w:tcPr>
        <w:p w:rsidR="00EC379B" w:rsidRDefault="001C5B6E" w:rsidP="009C1E9A">
          <w:pPr>
            <w:pStyle w:val="Footer"/>
            <w:tabs>
              <w:tab w:val="clear" w:pos="4320"/>
              <w:tab w:val="clear" w:pos="8640"/>
              <w:tab w:val="left" w:pos="2865"/>
            </w:tabs>
          </w:pPr>
        </w:p>
      </w:tc>
      <w:tc>
        <w:tcPr>
          <w:tcW w:w="2395" w:type="pct"/>
        </w:tcPr>
        <w:p w:rsidR="00EC379B" w:rsidRPr="009C1E9A" w:rsidRDefault="001C5B6E" w:rsidP="009C1E9A">
          <w:pPr>
            <w:pStyle w:val="Footer"/>
            <w:tabs>
              <w:tab w:val="clear" w:pos="4320"/>
              <w:tab w:val="clear" w:pos="8640"/>
              <w:tab w:val="left" w:pos="2865"/>
            </w:tabs>
            <w:rPr>
              <w:rFonts w:ascii="Shruti" w:hAnsi="Shruti"/>
              <w:sz w:val="22"/>
            </w:rPr>
          </w:pPr>
        </w:p>
      </w:tc>
      <w:tc>
        <w:tcPr>
          <w:tcW w:w="2453" w:type="pct"/>
        </w:tcPr>
        <w:p w:rsidR="00EC379B" w:rsidRDefault="001C5B6E" w:rsidP="006D504F">
          <w:pPr>
            <w:pStyle w:val="Footer"/>
            <w:rPr>
              <w:rStyle w:val="PageNumber"/>
            </w:rPr>
          </w:pPr>
        </w:p>
        <w:p w:rsidR="00EC379B" w:rsidRDefault="001C5B6E" w:rsidP="009C1E9A">
          <w:pPr>
            <w:pStyle w:val="Footer"/>
            <w:tabs>
              <w:tab w:val="clear" w:pos="8640"/>
              <w:tab w:val="right" w:pos="9360"/>
            </w:tabs>
            <w:jc w:val="right"/>
          </w:pPr>
        </w:p>
      </w:tc>
    </w:tr>
    <w:tr w:rsidR="00D44F03" w:rsidTr="009C1E9A">
      <w:trPr>
        <w:cantSplit/>
        <w:trHeight w:val="323"/>
      </w:trPr>
      <w:tc>
        <w:tcPr>
          <w:tcW w:w="0" w:type="pct"/>
          <w:gridSpan w:val="3"/>
        </w:tcPr>
        <w:p w:rsidR="00EC379B" w:rsidRDefault="001C5B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5B6E" w:rsidP="009C1E9A">
          <w:pPr>
            <w:pStyle w:val="Footer"/>
            <w:tabs>
              <w:tab w:val="clear" w:pos="8640"/>
              <w:tab w:val="right" w:pos="9360"/>
            </w:tabs>
            <w:jc w:val="center"/>
          </w:pPr>
        </w:p>
      </w:tc>
    </w:tr>
  </w:tbl>
  <w:p w:rsidR="00EC379B" w:rsidRPr="00FF6F72" w:rsidRDefault="001C5B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5B6E">
      <w:r>
        <w:separator/>
      </w:r>
    </w:p>
  </w:footnote>
  <w:footnote w:type="continuationSeparator" w:id="0">
    <w:p w:rsidR="00000000" w:rsidRDefault="001C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03"/>
    <w:rsid w:val="001C5B6E"/>
    <w:rsid w:val="00D4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5E6B"/>
    <w:rPr>
      <w:sz w:val="16"/>
      <w:szCs w:val="16"/>
    </w:rPr>
  </w:style>
  <w:style w:type="paragraph" w:styleId="CommentText">
    <w:name w:val="annotation text"/>
    <w:basedOn w:val="Normal"/>
    <w:link w:val="CommentTextChar"/>
    <w:rsid w:val="00465E6B"/>
    <w:rPr>
      <w:sz w:val="20"/>
      <w:szCs w:val="20"/>
    </w:rPr>
  </w:style>
  <w:style w:type="character" w:customStyle="1" w:styleId="CommentTextChar">
    <w:name w:val="Comment Text Char"/>
    <w:basedOn w:val="DefaultParagraphFont"/>
    <w:link w:val="CommentText"/>
    <w:rsid w:val="00465E6B"/>
  </w:style>
  <w:style w:type="paragraph" w:styleId="CommentSubject">
    <w:name w:val="annotation subject"/>
    <w:basedOn w:val="CommentText"/>
    <w:next w:val="CommentText"/>
    <w:link w:val="CommentSubjectChar"/>
    <w:rsid w:val="00465E6B"/>
    <w:rPr>
      <w:b/>
      <w:bCs/>
    </w:rPr>
  </w:style>
  <w:style w:type="character" w:customStyle="1" w:styleId="CommentSubjectChar">
    <w:name w:val="Comment Subject Char"/>
    <w:basedOn w:val="CommentTextChar"/>
    <w:link w:val="CommentSubject"/>
    <w:rsid w:val="00465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5E6B"/>
    <w:rPr>
      <w:sz w:val="16"/>
      <w:szCs w:val="16"/>
    </w:rPr>
  </w:style>
  <w:style w:type="paragraph" w:styleId="CommentText">
    <w:name w:val="annotation text"/>
    <w:basedOn w:val="Normal"/>
    <w:link w:val="CommentTextChar"/>
    <w:rsid w:val="00465E6B"/>
    <w:rPr>
      <w:sz w:val="20"/>
      <w:szCs w:val="20"/>
    </w:rPr>
  </w:style>
  <w:style w:type="character" w:customStyle="1" w:styleId="CommentTextChar">
    <w:name w:val="Comment Text Char"/>
    <w:basedOn w:val="DefaultParagraphFont"/>
    <w:link w:val="CommentText"/>
    <w:rsid w:val="00465E6B"/>
  </w:style>
  <w:style w:type="paragraph" w:styleId="CommentSubject">
    <w:name w:val="annotation subject"/>
    <w:basedOn w:val="CommentText"/>
    <w:next w:val="CommentText"/>
    <w:link w:val="CommentSubjectChar"/>
    <w:rsid w:val="00465E6B"/>
    <w:rPr>
      <w:b/>
      <w:bCs/>
    </w:rPr>
  </w:style>
  <w:style w:type="character" w:customStyle="1" w:styleId="CommentSubjectChar">
    <w:name w:val="Comment Subject Char"/>
    <w:basedOn w:val="CommentTextChar"/>
    <w:link w:val="CommentSubject"/>
    <w:rsid w:val="0046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2289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HB00155 (Committee Report (Unamended))</vt:lpstr>
    </vt:vector>
  </TitlesOfParts>
  <Company>State of Texas</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1451</dc:subject>
  <dc:creator>State of Texas</dc:creator>
  <dc:description>HB 155 by Phelan-(H)Ways &amp; Means</dc:description>
  <cp:lastModifiedBy>Alexander McMillan</cp:lastModifiedBy>
  <cp:revision>2</cp:revision>
  <cp:lastPrinted>2003-11-26T17:21:00Z</cp:lastPrinted>
  <dcterms:created xsi:type="dcterms:W3CDTF">2017-07-28T19:23:00Z</dcterms:created>
  <dcterms:modified xsi:type="dcterms:W3CDTF">2017-07-28T19:23:00Z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17.205.689</vt:lpwstr>
  </property>
</Properties>
</file>