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F25EC" w:rsidTr="00345119">
        <w:tc>
          <w:tcPr>
            <w:tcW w:w="9576" w:type="dxa"/>
            <w:noWrap/>
          </w:tcPr>
          <w:p w:rsidR="008423E4" w:rsidRPr="0022177D" w:rsidRDefault="009755E2" w:rsidP="00345119">
            <w:pPr>
              <w:pStyle w:val="Heading1"/>
            </w:pPr>
            <w:bookmarkStart w:id="0" w:name="_GoBack"/>
            <w:bookmarkEnd w:id="0"/>
            <w:r w:rsidRPr="00631897">
              <w:t>BILL ANALYSIS</w:t>
            </w:r>
          </w:p>
        </w:tc>
      </w:tr>
    </w:tbl>
    <w:p w:rsidR="008423E4" w:rsidRPr="0022177D" w:rsidRDefault="009755E2" w:rsidP="008423E4">
      <w:pPr>
        <w:jc w:val="center"/>
      </w:pPr>
    </w:p>
    <w:p w:rsidR="008423E4" w:rsidRPr="00B31F0E" w:rsidRDefault="009755E2" w:rsidP="008423E4"/>
    <w:p w:rsidR="008423E4" w:rsidRPr="00742794" w:rsidRDefault="009755E2" w:rsidP="008423E4">
      <w:pPr>
        <w:tabs>
          <w:tab w:val="right" w:pos="9360"/>
        </w:tabs>
      </w:pPr>
    </w:p>
    <w:tbl>
      <w:tblPr>
        <w:tblW w:w="0" w:type="auto"/>
        <w:tblLayout w:type="fixed"/>
        <w:tblLook w:val="01E0" w:firstRow="1" w:lastRow="1" w:firstColumn="1" w:lastColumn="1" w:noHBand="0" w:noVBand="0"/>
      </w:tblPr>
      <w:tblGrid>
        <w:gridCol w:w="9576"/>
      </w:tblGrid>
      <w:tr w:rsidR="000F25EC" w:rsidTr="00345119">
        <w:tc>
          <w:tcPr>
            <w:tcW w:w="9576" w:type="dxa"/>
          </w:tcPr>
          <w:p w:rsidR="008423E4" w:rsidRPr="00861995" w:rsidRDefault="009755E2" w:rsidP="00345119">
            <w:pPr>
              <w:jc w:val="right"/>
            </w:pPr>
            <w:r>
              <w:t>H.B. 239</w:t>
            </w:r>
          </w:p>
        </w:tc>
      </w:tr>
      <w:tr w:rsidR="000F25EC" w:rsidTr="00345119">
        <w:tc>
          <w:tcPr>
            <w:tcW w:w="9576" w:type="dxa"/>
          </w:tcPr>
          <w:p w:rsidR="008423E4" w:rsidRPr="00861995" w:rsidRDefault="009755E2" w:rsidP="00345119">
            <w:pPr>
              <w:jc w:val="right"/>
            </w:pPr>
            <w:r>
              <w:t xml:space="preserve">By: </w:t>
            </w:r>
            <w:r>
              <w:t>Capriglione</w:t>
            </w:r>
          </w:p>
        </w:tc>
      </w:tr>
      <w:tr w:rsidR="000F25EC" w:rsidTr="00345119">
        <w:tc>
          <w:tcPr>
            <w:tcW w:w="9576" w:type="dxa"/>
          </w:tcPr>
          <w:p w:rsidR="008423E4" w:rsidRPr="00861995" w:rsidRDefault="009755E2" w:rsidP="00345119">
            <w:pPr>
              <w:jc w:val="right"/>
            </w:pPr>
            <w:r>
              <w:t>Ways &amp; Means</w:t>
            </w:r>
          </w:p>
        </w:tc>
      </w:tr>
      <w:tr w:rsidR="000F25EC" w:rsidTr="00345119">
        <w:tc>
          <w:tcPr>
            <w:tcW w:w="9576" w:type="dxa"/>
          </w:tcPr>
          <w:p w:rsidR="008423E4" w:rsidRDefault="009755E2" w:rsidP="00345119">
            <w:pPr>
              <w:jc w:val="right"/>
            </w:pPr>
            <w:r>
              <w:t>Committee Report (Unamended)</w:t>
            </w:r>
          </w:p>
        </w:tc>
      </w:tr>
    </w:tbl>
    <w:p w:rsidR="008423E4" w:rsidRDefault="009755E2" w:rsidP="008423E4">
      <w:pPr>
        <w:tabs>
          <w:tab w:val="right" w:pos="9360"/>
        </w:tabs>
      </w:pPr>
    </w:p>
    <w:p w:rsidR="008423E4" w:rsidRDefault="009755E2" w:rsidP="008423E4"/>
    <w:p w:rsidR="008423E4" w:rsidRDefault="009755E2" w:rsidP="008423E4"/>
    <w:tbl>
      <w:tblPr>
        <w:tblW w:w="0" w:type="auto"/>
        <w:tblCellMar>
          <w:left w:w="115" w:type="dxa"/>
          <w:right w:w="115" w:type="dxa"/>
        </w:tblCellMar>
        <w:tblLook w:val="01E0" w:firstRow="1" w:lastRow="1" w:firstColumn="1" w:lastColumn="1" w:noHBand="0" w:noVBand="0"/>
      </w:tblPr>
      <w:tblGrid>
        <w:gridCol w:w="9576"/>
      </w:tblGrid>
      <w:tr w:rsidR="000F25EC" w:rsidTr="00345119">
        <w:tc>
          <w:tcPr>
            <w:tcW w:w="9576" w:type="dxa"/>
          </w:tcPr>
          <w:p w:rsidR="008423E4" w:rsidRPr="00A8133F" w:rsidRDefault="009755E2" w:rsidP="005033FA">
            <w:pPr>
              <w:rPr>
                <w:b/>
              </w:rPr>
            </w:pPr>
            <w:r w:rsidRPr="009C1E9A">
              <w:rPr>
                <w:b/>
                <w:u w:val="single"/>
              </w:rPr>
              <w:t>BACKGROUND AND PURPOSE</w:t>
            </w:r>
            <w:r>
              <w:rPr>
                <w:b/>
              </w:rPr>
              <w:t xml:space="preserve"> </w:t>
            </w:r>
          </w:p>
          <w:p w:rsidR="008423E4" w:rsidRDefault="009755E2" w:rsidP="005033FA"/>
          <w:p w:rsidR="008423E4" w:rsidRDefault="009755E2" w:rsidP="005033FA">
            <w:pPr>
              <w:pStyle w:val="Header"/>
              <w:jc w:val="both"/>
            </w:pPr>
            <w:r>
              <w:t xml:space="preserve">Interested parties contend that </w:t>
            </w:r>
            <w:r>
              <w:t xml:space="preserve">exempting </w:t>
            </w:r>
            <w:r>
              <w:t xml:space="preserve">precious metal held in the Texas Bullion Depository </w:t>
            </w:r>
            <w:r>
              <w:t xml:space="preserve">from property taxes will attract more </w:t>
            </w:r>
            <w:r>
              <w:t>deposits</w:t>
            </w:r>
            <w:r>
              <w:t xml:space="preserve"> to the depository</w:t>
            </w:r>
            <w:r>
              <w:t xml:space="preserve">, </w:t>
            </w:r>
            <w:r>
              <w:t xml:space="preserve">thereby </w:t>
            </w:r>
            <w:r>
              <w:t>generating more revenue.</w:t>
            </w:r>
            <w:r>
              <w:t xml:space="preserve"> H.B. </w:t>
            </w:r>
            <w:r>
              <w:t xml:space="preserve">239 </w:t>
            </w:r>
            <w:r>
              <w:t>seeks to provide for such a</w:t>
            </w:r>
            <w:r>
              <w:t xml:space="preserve"> property tax exemption.</w:t>
            </w:r>
          </w:p>
          <w:p w:rsidR="008423E4" w:rsidRPr="00E26B13" w:rsidRDefault="009755E2" w:rsidP="005033FA">
            <w:pPr>
              <w:rPr>
                <w:b/>
              </w:rPr>
            </w:pPr>
          </w:p>
        </w:tc>
      </w:tr>
      <w:tr w:rsidR="000F25EC" w:rsidTr="00345119">
        <w:tc>
          <w:tcPr>
            <w:tcW w:w="9576" w:type="dxa"/>
          </w:tcPr>
          <w:p w:rsidR="0017725B" w:rsidRDefault="009755E2" w:rsidP="005033FA">
            <w:pPr>
              <w:rPr>
                <w:b/>
                <w:u w:val="single"/>
              </w:rPr>
            </w:pPr>
            <w:r>
              <w:rPr>
                <w:b/>
                <w:u w:val="single"/>
              </w:rPr>
              <w:t>CRIMINAL JUSTICE IMPACT</w:t>
            </w:r>
          </w:p>
          <w:p w:rsidR="0017725B" w:rsidRDefault="009755E2" w:rsidP="005033FA">
            <w:pPr>
              <w:rPr>
                <w:b/>
                <w:u w:val="single"/>
              </w:rPr>
            </w:pPr>
          </w:p>
          <w:p w:rsidR="00923830" w:rsidRPr="00923830" w:rsidRDefault="009755E2" w:rsidP="005033FA">
            <w:pPr>
              <w:jc w:val="both"/>
            </w:pPr>
            <w:r>
              <w:t>It is the committee's opinion that this bill does not expressly create a criminal offense, increase the pun</w:t>
            </w:r>
            <w:r>
              <w:t>ishment for an existing criminal offense or category of offenses, or change the eligibility of a person for community supervision, parole, or mandatory supervision.</w:t>
            </w:r>
          </w:p>
          <w:p w:rsidR="0017725B" w:rsidRPr="0017725B" w:rsidRDefault="009755E2" w:rsidP="005033FA">
            <w:pPr>
              <w:rPr>
                <w:b/>
                <w:u w:val="single"/>
              </w:rPr>
            </w:pPr>
          </w:p>
        </w:tc>
      </w:tr>
      <w:tr w:rsidR="000F25EC" w:rsidTr="00345119">
        <w:tc>
          <w:tcPr>
            <w:tcW w:w="9576" w:type="dxa"/>
          </w:tcPr>
          <w:p w:rsidR="008423E4" w:rsidRPr="00A8133F" w:rsidRDefault="009755E2" w:rsidP="005033FA">
            <w:pPr>
              <w:rPr>
                <w:b/>
              </w:rPr>
            </w:pPr>
            <w:r w:rsidRPr="009C1E9A">
              <w:rPr>
                <w:b/>
                <w:u w:val="single"/>
              </w:rPr>
              <w:t>RULEMAKING AUTHORITY</w:t>
            </w:r>
            <w:r>
              <w:rPr>
                <w:b/>
              </w:rPr>
              <w:t xml:space="preserve"> </w:t>
            </w:r>
          </w:p>
          <w:p w:rsidR="008423E4" w:rsidRDefault="009755E2" w:rsidP="005033FA"/>
          <w:p w:rsidR="00923830" w:rsidRDefault="009755E2" w:rsidP="005033FA">
            <w:pPr>
              <w:pStyle w:val="Header"/>
              <w:tabs>
                <w:tab w:val="clear" w:pos="4320"/>
                <w:tab w:val="clear" w:pos="8640"/>
              </w:tabs>
              <w:jc w:val="both"/>
            </w:pPr>
            <w:r>
              <w:t>It is the committee's opinion that this bill does not expressly gr</w:t>
            </w:r>
            <w:r>
              <w:t>ant any additional rulemaking authority to a state officer, department, agency, or institution.</w:t>
            </w:r>
          </w:p>
          <w:p w:rsidR="008423E4" w:rsidRPr="00E21FDC" w:rsidRDefault="009755E2" w:rsidP="005033FA">
            <w:pPr>
              <w:rPr>
                <w:b/>
              </w:rPr>
            </w:pPr>
          </w:p>
        </w:tc>
      </w:tr>
      <w:tr w:rsidR="000F25EC" w:rsidTr="00345119">
        <w:tc>
          <w:tcPr>
            <w:tcW w:w="9576" w:type="dxa"/>
          </w:tcPr>
          <w:p w:rsidR="008423E4" w:rsidRPr="00A8133F" w:rsidRDefault="009755E2" w:rsidP="005033FA">
            <w:pPr>
              <w:rPr>
                <w:b/>
              </w:rPr>
            </w:pPr>
            <w:r w:rsidRPr="009C1E9A">
              <w:rPr>
                <w:b/>
                <w:u w:val="single"/>
              </w:rPr>
              <w:t>ANALYSIS</w:t>
            </w:r>
            <w:r>
              <w:rPr>
                <w:b/>
              </w:rPr>
              <w:t xml:space="preserve"> </w:t>
            </w:r>
          </w:p>
          <w:p w:rsidR="008423E4" w:rsidRDefault="009755E2" w:rsidP="005033FA"/>
          <w:p w:rsidR="008423E4" w:rsidRDefault="009755E2" w:rsidP="005033FA">
            <w:pPr>
              <w:pStyle w:val="Header"/>
              <w:jc w:val="both"/>
            </w:pPr>
            <w:r>
              <w:t xml:space="preserve">H.B. 239 amends the Tax Code to entitle a person to an exemption from </w:t>
            </w:r>
            <w:r>
              <w:t xml:space="preserve">property </w:t>
            </w:r>
            <w:r>
              <w:t xml:space="preserve">taxation of the precious metal that the person owns and that is held in the Texas Bullion Depository, regardless of whether the precious metal is held or used by the person for the production of income. </w:t>
            </w:r>
            <w:r>
              <w:t>The bill prohibits the governing body of a taxing uni</w:t>
            </w:r>
            <w:r>
              <w:t>t from providing for the taxation of precious metal so exempt</w:t>
            </w:r>
            <w:r>
              <w:t>ed and</w:t>
            </w:r>
            <w:r>
              <w:t xml:space="preserve"> makes such an exemption effective immediately on qualification for the exemption. </w:t>
            </w:r>
            <w:r>
              <w:t>The bill applies</w:t>
            </w:r>
            <w:r>
              <w:t xml:space="preserve"> only to a tax year beginning on or after January 1, 2018.</w:t>
            </w:r>
          </w:p>
          <w:p w:rsidR="008423E4" w:rsidRPr="00835628" w:rsidRDefault="009755E2" w:rsidP="005033FA">
            <w:pPr>
              <w:rPr>
                <w:b/>
              </w:rPr>
            </w:pPr>
          </w:p>
        </w:tc>
      </w:tr>
      <w:tr w:rsidR="000F25EC" w:rsidTr="00345119">
        <w:tc>
          <w:tcPr>
            <w:tcW w:w="9576" w:type="dxa"/>
          </w:tcPr>
          <w:p w:rsidR="008423E4" w:rsidRPr="00A8133F" w:rsidRDefault="009755E2" w:rsidP="005033FA">
            <w:pPr>
              <w:rPr>
                <w:b/>
              </w:rPr>
            </w:pPr>
            <w:r w:rsidRPr="009C1E9A">
              <w:rPr>
                <w:b/>
                <w:u w:val="single"/>
              </w:rPr>
              <w:t>EFFECTIVE DATE</w:t>
            </w:r>
            <w:r>
              <w:rPr>
                <w:b/>
              </w:rPr>
              <w:t xml:space="preserve"> </w:t>
            </w:r>
          </w:p>
          <w:p w:rsidR="008423E4" w:rsidRDefault="009755E2" w:rsidP="005033FA"/>
          <w:p w:rsidR="008423E4" w:rsidRPr="00923830" w:rsidRDefault="009755E2" w:rsidP="005033FA">
            <w:pPr>
              <w:pStyle w:val="Header"/>
              <w:tabs>
                <w:tab w:val="clear" w:pos="4320"/>
                <w:tab w:val="clear" w:pos="8640"/>
              </w:tabs>
              <w:jc w:val="both"/>
            </w:pPr>
            <w:r>
              <w:t>January 1, 2</w:t>
            </w:r>
            <w:r>
              <w:t>018, if</w:t>
            </w:r>
            <w:r>
              <w:t xml:space="preserve"> the constitutional amendment </w:t>
            </w:r>
            <w:r w:rsidRPr="00923830">
              <w:t xml:space="preserve">authorizing the legislature to exempt from </w:t>
            </w:r>
            <w:r>
              <w:t>ad valorem</w:t>
            </w:r>
            <w:r w:rsidRPr="00923830">
              <w:t xml:space="preserve"> </w:t>
            </w:r>
            <w:r w:rsidRPr="00923830">
              <w:t>taxation precious metal held in the Texas Bullion Depository</w:t>
            </w:r>
            <w:r>
              <w:t xml:space="preserve"> </w:t>
            </w:r>
            <w:r>
              <w:t>is</w:t>
            </w:r>
            <w:r>
              <w:t xml:space="preserve"> approved by the voters.</w:t>
            </w:r>
          </w:p>
          <w:p w:rsidR="008423E4" w:rsidRPr="00233FDB" w:rsidRDefault="009755E2" w:rsidP="005033FA">
            <w:pPr>
              <w:rPr>
                <w:b/>
              </w:rPr>
            </w:pPr>
          </w:p>
        </w:tc>
      </w:tr>
    </w:tbl>
    <w:p w:rsidR="008423E4" w:rsidRPr="00BE0E75" w:rsidRDefault="009755E2" w:rsidP="008423E4">
      <w:pPr>
        <w:spacing w:line="480" w:lineRule="auto"/>
        <w:jc w:val="both"/>
        <w:rPr>
          <w:rFonts w:ascii="Arial" w:hAnsi="Arial"/>
          <w:sz w:val="16"/>
          <w:szCs w:val="16"/>
        </w:rPr>
      </w:pPr>
    </w:p>
    <w:p w:rsidR="004108C3" w:rsidRPr="008423E4" w:rsidRDefault="009755E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55E2">
      <w:r>
        <w:separator/>
      </w:r>
    </w:p>
  </w:endnote>
  <w:endnote w:type="continuationSeparator" w:id="0">
    <w:p w:rsidR="00000000" w:rsidRDefault="0097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D0" w:rsidRDefault="00975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F25EC" w:rsidTr="009C1E9A">
      <w:trPr>
        <w:cantSplit/>
      </w:trPr>
      <w:tc>
        <w:tcPr>
          <w:tcW w:w="0" w:type="pct"/>
        </w:tcPr>
        <w:p w:rsidR="00137D90" w:rsidRDefault="009755E2" w:rsidP="009C1E9A">
          <w:pPr>
            <w:pStyle w:val="Footer"/>
            <w:tabs>
              <w:tab w:val="clear" w:pos="8640"/>
              <w:tab w:val="right" w:pos="9360"/>
            </w:tabs>
          </w:pPr>
        </w:p>
      </w:tc>
      <w:tc>
        <w:tcPr>
          <w:tcW w:w="2395" w:type="pct"/>
        </w:tcPr>
        <w:p w:rsidR="00137D90" w:rsidRDefault="009755E2" w:rsidP="009C1E9A">
          <w:pPr>
            <w:pStyle w:val="Footer"/>
            <w:tabs>
              <w:tab w:val="clear" w:pos="8640"/>
              <w:tab w:val="right" w:pos="9360"/>
            </w:tabs>
          </w:pPr>
        </w:p>
        <w:p w:rsidR="001A4310" w:rsidRDefault="009755E2" w:rsidP="009C1E9A">
          <w:pPr>
            <w:pStyle w:val="Footer"/>
            <w:tabs>
              <w:tab w:val="clear" w:pos="8640"/>
              <w:tab w:val="right" w:pos="9360"/>
            </w:tabs>
          </w:pPr>
        </w:p>
        <w:p w:rsidR="00137D90" w:rsidRDefault="009755E2" w:rsidP="009C1E9A">
          <w:pPr>
            <w:pStyle w:val="Footer"/>
            <w:tabs>
              <w:tab w:val="clear" w:pos="8640"/>
              <w:tab w:val="right" w:pos="9360"/>
            </w:tabs>
          </w:pPr>
        </w:p>
      </w:tc>
      <w:tc>
        <w:tcPr>
          <w:tcW w:w="2453" w:type="pct"/>
        </w:tcPr>
        <w:p w:rsidR="00137D90" w:rsidRDefault="009755E2" w:rsidP="009C1E9A">
          <w:pPr>
            <w:pStyle w:val="Footer"/>
            <w:tabs>
              <w:tab w:val="clear" w:pos="8640"/>
              <w:tab w:val="right" w:pos="9360"/>
            </w:tabs>
            <w:jc w:val="right"/>
          </w:pPr>
        </w:p>
      </w:tc>
    </w:tr>
    <w:tr w:rsidR="000F25EC" w:rsidTr="009C1E9A">
      <w:trPr>
        <w:cantSplit/>
      </w:trPr>
      <w:tc>
        <w:tcPr>
          <w:tcW w:w="0" w:type="pct"/>
        </w:tcPr>
        <w:p w:rsidR="00EC379B" w:rsidRDefault="009755E2" w:rsidP="009C1E9A">
          <w:pPr>
            <w:pStyle w:val="Footer"/>
            <w:tabs>
              <w:tab w:val="clear" w:pos="8640"/>
              <w:tab w:val="right" w:pos="9360"/>
            </w:tabs>
          </w:pPr>
        </w:p>
      </w:tc>
      <w:tc>
        <w:tcPr>
          <w:tcW w:w="2395" w:type="pct"/>
        </w:tcPr>
        <w:p w:rsidR="00EC379B" w:rsidRPr="009C1E9A" w:rsidRDefault="009755E2" w:rsidP="009C1E9A">
          <w:pPr>
            <w:pStyle w:val="Footer"/>
            <w:tabs>
              <w:tab w:val="clear" w:pos="8640"/>
              <w:tab w:val="right" w:pos="9360"/>
            </w:tabs>
            <w:rPr>
              <w:rFonts w:ascii="Shruti" w:hAnsi="Shruti"/>
              <w:sz w:val="22"/>
            </w:rPr>
          </w:pPr>
          <w:r>
            <w:rPr>
              <w:rFonts w:ascii="Shruti" w:hAnsi="Shruti"/>
              <w:sz w:val="22"/>
            </w:rPr>
            <w:t>85S1 1443</w:t>
          </w:r>
        </w:p>
      </w:tc>
      <w:tc>
        <w:tcPr>
          <w:tcW w:w="2453" w:type="pct"/>
        </w:tcPr>
        <w:p w:rsidR="00EC379B" w:rsidRDefault="009755E2" w:rsidP="009C1E9A">
          <w:pPr>
            <w:pStyle w:val="Footer"/>
            <w:tabs>
              <w:tab w:val="clear" w:pos="8640"/>
              <w:tab w:val="right" w:pos="9360"/>
            </w:tabs>
            <w:jc w:val="right"/>
          </w:pPr>
          <w:r>
            <w:fldChar w:fldCharType="begin"/>
          </w:r>
          <w:r>
            <w:instrText xml:space="preserve"> DOCPROPERTY  OTID  \* MERGEFORMAT </w:instrText>
          </w:r>
          <w:r>
            <w:fldChar w:fldCharType="separate"/>
          </w:r>
          <w:r>
            <w:t>17.205.616</w:t>
          </w:r>
          <w:r>
            <w:fldChar w:fldCharType="end"/>
          </w:r>
        </w:p>
      </w:tc>
    </w:tr>
    <w:tr w:rsidR="000F25EC" w:rsidTr="009C1E9A">
      <w:trPr>
        <w:cantSplit/>
      </w:trPr>
      <w:tc>
        <w:tcPr>
          <w:tcW w:w="0" w:type="pct"/>
        </w:tcPr>
        <w:p w:rsidR="00EC379B" w:rsidRDefault="009755E2" w:rsidP="009C1E9A">
          <w:pPr>
            <w:pStyle w:val="Footer"/>
            <w:tabs>
              <w:tab w:val="clear" w:pos="4320"/>
              <w:tab w:val="clear" w:pos="8640"/>
              <w:tab w:val="left" w:pos="2865"/>
            </w:tabs>
          </w:pPr>
        </w:p>
      </w:tc>
      <w:tc>
        <w:tcPr>
          <w:tcW w:w="2395" w:type="pct"/>
        </w:tcPr>
        <w:p w:rsidR="00EC379B" w:rsidRPr="009C1E9A" w:rsidRDefault="009755E2" w:rsidP="009C1E9A">
          <w:pPr>
            <w:pStyle w:val="Footer"/>
            <w:tabs>
              <w:tab w:val="clear" w:pos="4320"/>
              <w:tab w:val="clear" w:pos="8640"/>
              <w:tab w:val="left" w:pos="2865"/>
            </w:tabs>
            <w:rPr>
              <w:rFonts w:ascii="Shruti" w:hAnsi="Shruti"/>
              <w:sz w:val="22"/>
            </w:rPr>
          </w:pPr>
        </w:p>
      </w:tc>
      <w:tc>
        <w:tcPr>
          <w:tcW w:w="2453" w:type="pct"/>
        </w:tcPr>
        <w:p w:rsidR="00EC379B" w:rsidRDefault="009755E2" w:rsidP="006D504F">
          <w:pPr>
            <w:pStyle w:val="Footer"/>
            <w:rPr>
              <w:rStyle w:val="PageNumber"/>
            </w:rPr>
          </w:pPr>
        </w:p>
        <w:p w:rsidR="00EC379B" w:rsidRDefault="009755E2" w:rsidP="009C1E9A">
          <w:pPr>
            <w:pStyle w:val="Footer"/>
            <w:tabs>
              <w:tab w:val="clear" w:pos="8640"/>
              <w:tab w:val="right" w:pos="9360"/>
            </w:tabs>
            <w:jc w:val="right"/>
          </w:pPr>
        </w:p>
      </w:tc>
    </w:tr>
    <w:tr w:rsidR="000F25EC" w:rsidTr="009C1E9A">
      <w:trPr>
        <w:cantSplit/>
        <w:trHeight w:val="323"/>
      </w:trPr>
      <w:tc>
        <w:tcPr>
          <w:tcW w:w="0" w:type="pct"/>
          <w:gridSpan w:val="3"/>
        </w:tcPr>
        <w:p w:rsidR="00EC379B" w:rsidRDefault="009755E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755E2" w:rsidP="009C1E9A">
          <w:pPr>
            <w:pStyle w:val="Footer"/>
            <w:tabs>
              <w:tab w:val="clear" w:pos="8640"/>
              <w:tab w:val="right" w:pos="9360"/>
            </w:tabs>
            <w:jc w:val="center"/>
          </w:pPr>
        </w:p>
      </w:tc>
    </w:tr>
  </w:tbl>
  <w:p w:rsidR="00EC379B" w:rsidRPr="00FF6F72" w:rsidRDefault="009755E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D0" w:rsidRDefault="00975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55E2">
      <w:r>
        <w:separator/>
      </w:r>
    </w:p>
  </w:footnote>
  <w:footnote w:type="continuationSeparator" w:id="0">
    <w:p w:rsidR="00000000" w:rsidRDefault="0097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D0" w:rsidRDefault="00975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D0" w:rsidRDefault="009755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D0" w:rsidRDefault="00975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EC"/>
    <w:rsid w:val="000F25EC"/>
    <w:rsid w:val="0097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B41AE"/>
    <w:rPr>
      <w:sz w:val="16"/>
      <w:szCs w:val="16"/>
    </w:rPr>
  </w:style>
  <w:style w:type="paragraph" w:styleId="CommentText">
    <w:name w:val="annotation text"/>
    <w:basedOn w:val="Normal"/>
    <w:link w:val="CommentTextChar"/>
    <w:rsid w:val="00DB41AE"/>
    <w:rPr>
      <w:sz w:val="20"/>
      <w:szCs w:val="20"/>
    </w:rPr>
  </w:style>
  <w:style w:type="character" w:customStyle="1" w:styleId="CommentTextChar">
    <w:name w:val="Comment Text Char"/>
    <w:basedOn w:val="DefaultParagraphFont"/>
    <w:link w:val="CommentText"/>
    <w:rsid w:val="00DB41AE"/>
  </w:style>
  <w:style w:type="paragraph" w:styleId="CommentSubject">
    <w:name w:val="annotation subject"/>
    <w:basedOn w:val="CommentText"/>
    <w:next w:val="CommentText"/>
    <w:link w:val="CommentSubjectChar"/>
    <w:rsid w:val="00DB41AE"/>
    <w:rPr>
      <w:b/>
      <w:bCs/>
    </w:rPr>
  </w:style>
  <w:style w:type="character" w:customStyle="1" w:styleId="CommentSubjectChar">
    <w:name w:val="Comment Subject Char"/>
    <w:basedOn w:val="CommentTextChar"/>
    <w:link w:val="CommentSubject"/>
    <w:rsid w:val="00DB41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B41AE"/>
    <w:rPr>
      <w:sz w:val="16"/>
      <w:szCs w:val="16"/>
    </w:rPr>
  </w:style>
  <w:style w:type="paragraph" w:styleId="CommentText">
    <w:name w:val="annotation text"/>
    <w:basedOn w:val="Normal"/>
    <w:link w:val="CommentTextChar"/>
    <w:rsid w:val="00DB41AE"/>
    <w:rPr>
      <w:sz w:val="20"/>
      <w:szCs w:val="20"/>
    </w:rPr>
  </w:style>
  <w:style w:type="character" w:customStyle="1" w:styleId="CommentTextChar">
    <w:name w:val="Comment Text Char"/>
    <w:basedOn w:val="DefaultParagraphFont"/>
    <w:link w:val="CommentText"/>
    <w:rsid w:val="00DB41AE"/>
  </w:style>
  <w:style w:type="paragraph" w:styleId="CommentSubject">
    <w:name w:val="annotation subject"/>
    <w:basedOn w:val="CommentText"/>
    <w:next w:val="CommentText"/>
    <w:link w:val="CommentSubjectChar"/>
    <w:rsid w:val="00DB41AE"/>
    <w:rPr>
      <w:b/>
      <w:bCs/>
    </w:rPr>
  </w:style>
  <w:style w:type="character" w:customStyle="1" w:styleId="CommentSubjectChar">
    <w:name w:val="Comment Subject Char"/>
    <w:basedOn w:val="CommentTextChar"/>
    <w:link w:val="CommentSubject"/>
    <w:rsid w:val="00DB4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1359</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HB00239 (Committee Report (Unamended))</vt:lpstr>
    </vt:vector>
  </TitlesOfParts>
  <Company>State of Texas</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1443</dc:subject>
  <dc:creator>State of Texas</dc:creator>
  <dc:description>HB 239 by Capriglione-(H)Ways &amp; Means</dc:description>
  <cp:lastModifiedBy>Alexander McMillan</cp:lastModifiedBy>
  <cp:revision>2</cp:revision>
  <cp:lastPrinted>2003-11-26T17:21:00Z</cp:lastPrinted>
  <dcterms:created xsi:type="dcterms:W3CDTF">2017-07-28T19:24:00Z</dcterms:created>
  <dcterms:modified xsi:type="dcterms:W3CDTF">2017-07-28T19:24:00Z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17.205.616</vt:lpwstr>
  </property>
</Properties>
</file>