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2F58" w:rsidTr="00345119">
        <w:tc>
          <w:tcPr>
            <w:tcW w:w="9576" w:type="dxa"/>
            <w:noWrap/>
          </w:tcPr>
          <w:p w:rsidR="008423E4" w:rsidRPr="0022177D" w:rsidRDefault="003E58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58C1" w:rsidP="008423E4">
      <w:pPr>
        <w:jc w:val="center"/>
      </w:pPr>
    </w:p>
    <w:p w:rsidR="008423E4" w:rsidRPr="00B31F0E" w:rsidRDefault="003E58C1" w:rsidP="008423E4"/>
    <w:p w:rsidR="008423E4" w:rsidRPr="00742794" w:rsidRDefault="003E58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2F58" w:rsidTr="00345119">
        <w:tc>
          <w:tcPr>
            <w:tcW w:w="9576" w:type="dxa"/>
          </w:tcPr>
          <w:p w:rsidR="008423E4" w:rsidRPr="00861995" w:rsidRDefault="003E58C1" w:rsidP="00B92148">
            <w:pPr>
              <w:jc w:val="right"/>
            </w:pPr>
            <w:r>
              <w:t>H.B. 331</w:t>
            </w:r>
          </w:p>
        </w:tc>
      </w:tr>
      <w:tr w:rsidR="00B72F58" w:rsidTr="00345119">
        <w:tc>
          <w:tcPr>
            <w:tcW w:w="9576" w:type="dxa"/>
          </w:tcPr>
          <w:p w:rsidR="008423E4" w:rsidRPr="00861995" w:rsidRDefault="003E58C1" w:rsidP="00B92148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B72F58" w:rsidTr="00345119">
        <w:tc>
          <w:tcPr>
            <w:tcW w:w="9576" w:type="dxa"/>
          </w:tcPr>
          <w:p w:rsidR="008423E4" w:rsidRPr="00861995" w:rsidRDefault="003E58C1" w:rsidP="00B92148">
            <w:pPr>
              <w:jc w:val="right"/>
            </w:pPr>
            <w:r>
              <w:t>Ways &amp; Means</w:t>
            </w:r>
          </w:p>
        </w:tc>
      </w:tr>
      <w:tr w:rsidR="00B72F58" w:rsidTr="00345119">
        <w:tc>
          <w:tcPr>
            <w:tcW w:w="9576" w:type="dxa"/>
          </w:tcPr>
          <w:p w:rsidR="008423E4" w:rsidRDefault="003E58C1" w:rsidP="00B92148">
            <w:pPr>
              <w:jc w:val="right"/>
            </w:pPr>
            <w:r>
              <w:t>Committee Report (Unamended)</w:t>
            </w:r>
          </w:p>
        </w:tc>
      </w:tr>
    </w:tbl>
    <w:p w:rsidR="008423E4" w:rsidRDefault="003E58C1" w:rsidP="008423E4">
      <w:pPr>
        <w:tabs>
          <w:tab w:val="right" w:pos="9360"/>
        </w:tabs>
      </w:pPr>
    </w:p>
    <w:p w:rsidR="008423E4" w:rsidRDefault="003E58C1" w:rsidP="008423E4"/>
    <w:p w:rsidR="008423E4" w:rsidRDefault="003E58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72F58" w:rsidTr="0051484A">
        <w:tc>
          <w:tcPr>
            <w:tcW w:w="9582" w:type="dxa"/>
          </w:tcPr>
          <w:p w:rsidR="008423E4" w:rsidRPr="00A8133F" w:rsidRDefault="003E58C1" w:rsidP="00DF6C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58C1" w:rsidP="00DF6C7C"/>
          <w:p w:rsidR="008423E4" w:rsidRDefault="003E58C1" w:rsidP="00DF6C7C">
            <w:pPr>
              <w:pStyle w:val="Header"/>
              <w:jc w:val="both"/>
            </w:pPr>
            <w:r>
              <w:t>Observers</w:t>
            </w:r>
            <w:r>
              <w:t xml:space="preserve"> note that </w:t>
            </w:r>
            <w:r>
              <w:t xml:space="preserve">although </w:t>
            </w:r>
            <w:r>
              <w:t>state law</w:t>
            </w:r>
            <w:r>
              <w:t xml:space="preserve"> authorizes a taxing unit within a</w:t>
            </w:r>
            <w:r>
              <w:t xml:space="preserve"> declared disaster</w:t>
            </w:r>
            <w:r>
              <w:t xml:space="preserve"> area to </w:t>
            </w:r>
            <w:r>
              <w:t xml:space="preserve">authorize reappraisal of </w:t>
            </w:r>
            <w:r>
              <w:t xml:space="preserve">all property damaged </w:t>
            </w:r>
            <w:r>
              <w:t xml:space="preserve">in </w:t>
            </w:r>
            <w:r>
              <w:t xml:space="preserve">the disaster at its market value </w:t>
            </w:r>
            <w:r>
              <w:t>immediately after the disaster</w:t>
            </w:r>
            <w:r>
              <w:t xml:space="preserve">, </w:t>
            </w:r>
            <w:r>
              <w:t>not all</w:t>
            </w:r>
            <w:r>
              <w:t xml:space="preserve"> </w:t>
            </w:r>
            <w:r>
              <w:t xml:space="preserve">taxing </w:t>
            </w:r>
            <w:r>
              <w:t xml:space="preserve">jurisdictions </w:t>
            </w:r>
            <w:r>
              <w:t>may elect to reappraise damaged properties</w:t>
            </w:r>
            <w:r>
              <w:t xml:space="preserve"> in that manner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331 </w:t>
            </w:r>
            <w:r>
              <w:t xml:space="preserve">seeks to </w:t>
            </w:r>
            <w:r>
              <w:t xml:space="preserve">ensure that homes damaged </w:t>
            </w:r>
            <w:r>
              <w:t xml:space="preserve">in </w:t>
            </w:r>
            <w:r>
              <w:t>a disaster are appraised and tax</w:t>
            </w:r>
            <w:r>
              <w:t>ed fairly</w:t>
            </w:r>
            <w:r>
              <w:t xml:space="preserve"> by</w:t>
            </w:r>
            <w:r>
              <w:t xml:space="preserve"> requiring</w:t>
            </w:r>
            <w:r>
              <w:t xml:space="preserve"> all </w:t>
            </w:r>
            <w:r>
              <w:t xml:space="preserve">property </w:t>
            </w:r>
            <w:r>
              <w:t xml:space="preserve">estimated to have sustained five percent or greater damage as a result of a disaster </w:t>
            </w:r>
            <w:r>
              <w:t xml:space="preserve">to </w:t>
            </w:r>
            <w:r>
              <w:t xml:space="preserve">be reappraised at market value </w:t>
            </w:r>
            <w:r>
              <w:t>immediately after the disaster</w:t>
            </w:r>
            <w:r>
              <w:t>.</w:t>
            </w:r>
          </w:p>
          <w:p w:rsidR="008423E4" w:rsidRPr="00E26B13" w:rsidRDefault="003E58C1" w:rsidP="00DF6C7C">
            <w:pPr>
              <w:pStyle w:val="Header"/>
              <w:jc w:val="both"/>
              <w:rPr>
                <w:b/>
              </w:rPr>
            </w:pPr>
          </w:p>
        </w:tc>
      </w:tr>
      <w:tr w:rsidR="00B72F58" w:rsidTr="0051484A">
        <w:tc>
          <w:tcPr>
            <w:tcW w:w="9582" w:type="dxa"/>
          </w:tcPr>
          <w:p w:rsidR="0017725B" w:rsidRDefault="003E58C1" w:rsidP="00DF6C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E58C1" w:rsidP="00DF6C7C">
            <w:pPr>
              <w:rPr>
                <w:b/>
                <w:u w:val="single"/>
              </w:rPr>
            </w:pPr>
          </w:p>
          <w:p w:rsidR="00E1653D" w:rsidRPr="00E1653D" w:rsidRDefault="003E58C1" w:rsidP="00DF6C7C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E58C1" w:rsidP="00DF6C7C">
            <w:pPr>
              <w:rPr>
                <w:b/>
                <w:u w:val="single"/>
              </w:rPr>
            </w:pPr>
          </w:p>
        </w:tc>
      </w:tr>
      <w:tr w:rsidR="00B72F58" w:rsidTr="0051484A">
        <w:tc>
          <w:tcPr>
            <w:tcW w:w="9582" w:type="dxa"/>
          </w:tcPr>
          <w:p w:rsidR="008423E4" w:rsidRPr="00A8133F" w:rsidRDefault="003E58C1" w:rsidP="00DF6C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58C1" w:rsidP="00DF6C7C"/>
          <w:p w:rsidR="00E1653D" w:rsidRDefault="003E58C1" w:rsidP="00DF6C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comptroller of public accounts in SECTION 1 of this bill.</w:t>
            </w:r>
          </w:p>
          <w:p w:rsidR="008423E4" w:rsidRPr="00E21FDC" w:rsidRDefault="003E58C1" w:rsidP="00DF6C7C">
            <w:pPr>
              <w:rPr>
                <w:b/>
              </w:rPr>
            </w:pPr>
          </w:p>
        </w:tc>
      </w:tr>
      <w:tr w:rsidR="00B72F58" w:rsidTr="0051484A">
        <w:tc>
          <w:tcPr>
            <w:tcW w:w="9582" w:type="dxa"/>
          </w:tcPr>
          <w:p w:rsidR="008423E4" w:rsidRPr="00A8133F" w:rsidRDefault="003E58C1" w:rsidP="00DF6C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58C1" w:rsidP="00DF6C7C"/>
          <w:p w:rsidR="008423E4" w:rsidRDefault="003E58C1" w:rsidP="005761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331 </w:t>
            </w:r>
            <w:r>
              <w:t xml:space="preserve">amends the Tax Code to </w:t>
            </w:r>
            <w:r>
              <w:t xml:space="preserve">replace the authority of </w:t>
            </w:r>
            <w:r>
              <w:t>a</w:t>
            </w:r>
            <w:r>
              <w:t xml:space="preserve"> governing body of a taxing unit that is</w:t>
            </w:r>
            <w:r w:rsidRPr="00195A61">
              <w:t xml:space="preserve"> located partly or entirely inside an area declared a disaster area by the governor</w:t>
            </w:r>
            <w:r>
              <w:t xml:space="preserve"> to authorize the reappraisal of </w:t>
            </w:r>
            <w:r w:rsidRPr="00195A61">
              <w:t xml:space="preserve">all </w:t>
            </w:r>
            <w:r>
              <w:t>property</w:t>
            </w:r>
            <w:r w:rsidRPr="00195A61">
              <w:t xml:space="preserve"> </w:t>
            </w:r>
            <w:r w:rsidRPr="00195A61">
              <w:t xml:space="preserve">damaged </w:t>
            </w:r>
            <w:r>
              <w:t xml:space="preserve">in the disaster </w:t>
            </w:r>
            <w:r w:rsidRPr="00195A61">
              <w:t>at its market value immediately after the disaster</w:t>
            </w:r>
            <w:r>
              <w:t xml:space="preserve"> </w:t>
            </w:r>
            <w:r>
              <w:t xml:space="preserve">with the requirement that the chief appraiser of an </w:t>
            </w:r>
            <w:r>
              <w:t xml:space="preserve">appraisal district that appraises property for such a taxing unit </w:t>
            </w:r>
            <w:r>
              <w:t xml:space="preserve">reappraise </w:t>
            </w:r>
            <w:r>
              <w:t xml:space="preserve">all </w:t>
            </w:r>
            <w:r>
              <w:t>property</w:t>
            </w:r>
            <w:r>
              <w:t xml:space="preserve"> that the Federal Emergency Management Agency (FEMA) or its successor agency estimates to have sustained five percent or greater damage as a result of the disaster</w:t>
            </w:r>
            <w:r>
              <w:t xml:space="preserve"> in </w:t>
            </w:r>
            <w:r>
              <w:t>that manner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</w:t>
            </w:r>
            <w:r>
              <w:t xml:space="preserve">bill requires that </w:t>
            </w:r>
            <w:r>
              <w:t xml:space="preserve">reappraisal </w:t>
            </w:r>
            <w:r>
              <w:t xml:space="preserve">to be completed </w:t>
            </w:r>
            <w:r>
              <w:t>not later than the 45th day after the date the governor declares the area to be a disaster area</w:t>
            </w:r>
            <w:r>
              <w:t xml:space="preserve"> </w:t>
            </w:r>
            <w:r>
              <w:t>and</w:t>
            </w:r>
            <w:r>
              <w:t xml:space="preserve"> authorizes a property owner to refuse to have the owner's property reappraised</w:t>
            </w:r>
            <w:r>
              <w:t xml:space="preserve">. The bill requires the chief appraiser, if FEMA </w:t>
            </w:r>
            <w:r>
              <w:t xml:space="preserve">or its successor agency </w:t>
            </w:r>
            <w:r>
              <w:t xml:space="preserve">does not complete </w:t>
            </w:r>
            <w:r>
              <w:t>the</w:t>
            </w:r>
            <w:r>
              <w:t xml:space="preserve"> </w:t>
            </w:r>
            <w:r>
              <w:t>damage estimate</w:t>
            </w:r>
            <w:r>
              <w:t>s</w:t>
            </w:r>
            <w:r>
              <w:t xml:space="preserve"> on or before the deadline for </w:t>
            </w:r>
            <w:r>
              <w:t>completing</w:t>
            </w:r>
            <w:r>
              <w:t xml:space="preserve"> the reappraisal, to complete the reappraisal as soon as practicable after FEMA's damage estimates are c</w:t>
            </w:r>
            <w:r>
              <w:t>ompleted</w:t>
            </w:r>
            <w:r>
              <w:t>.</w:t>
            </w:r>
            <w:r>
              <w:t xml:space="preserve"> </w:t>
            </w:r>
            <w:r>
              <w:t>The bill authorizes the comptroller of public accounts to adopt rules to implement</w:t>
            </w:r>
            <w:r>
              <w:t xml:space="preserve"> and administer</w:t>
            </w:r>
            <w:r>
              <w:t xml:space="preserve"> </w:t>
            </w:r>
            <w:r>
              <w:t>provisions</w:t>
            </w:r>
            <w:r>
              <w:t xml:space="preserve"> regarding the reappraisal of property damaged in a disaster area</w:t>
            </w:r>
            <w:r>
              <w:t>.</w:t>
            </w:r>
          </w:p>
          <w:p w:rsidR="00AB38AF" w:rsidRPr="00835628" w:rsidRDefault="003E58C1" w:rsidP="00DF6C7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72F58" w:rsidTr="0051484A">
        <w:tc>
          <w:tcPr>
            <w:tcW w:w="9582" w:type="dxa"/>
          </w:tcPr>
          <w:p w:rsidR="008423E4" w:rsidRPr="00A8133F" w:rsidRDefault="003E58C1" w:rsidP="00DF6C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58C1" w:rsidP="00DF6C7C"/>
          <w:p w:rsidR="008423E4" w:rsidRPr="003624F2" w:rsidRDefault="003E58C1" w:rsidP="001B22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</w:t>
            </w:r>
            <w:r>
              <w:t xml:space="preserve">essary vote, </w:t>
            </w:r>
            <w:r>
              <w:t xml:space="preserve">December </w:t>
            </w:r>
            <w:r>
              <w:t>1, 2017.</w:t>
            </w:r>
          </w:p>
          <w:p w:rsidR="008423E4" w:rsidRPr="00233FDB" w:rsidRDefault="003E58C1">
            <w:pPr>
              <w:rPr>
                <w:b/>
              </w:rPr>
            </w:pPr>
          </w:p>
        </w:tc>
      </w:tr>
    </w:tbl>
    <w:p w:rsidR="004108C3" w:rsidRPr="008423E4" w:rsidRDefault="003E58C1" w:rsidP="0007271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58C1">
      <w:r>
        <w:separator/>
      </w:r>
    </w:p>
  </w:endnote>
  <w:endnote w:type="continuationSeparator" w:id="0">
    <w:p w:rsidR="00000000" w:rsidRDefault="003E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F7" w:rsidRDefault="003E5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2F58" w:rsidTr="009C1E9A">
      <w:trPr>
        <w:cantSplit/>
      </w:trPr>
      <w:tc>
        <w:tcPr>
          <w:tcW w:w="0" w:type="pct"/>
        </w:tcPr>
        <w:p w:rsidR="00137D90" w:rsidRDefault="003E58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58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58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58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F58" w:rsidTr="009C1E9A">
      <w:trPr>
        <w:cantSplit/>
      </w:trPr>
      <w:tc>
        <w:tcPr>
          <w:tcW w:w="0" w:type="pct"/>
        </w:tcPr>
        <w:p w:rsidR="00EC379B" w:rsidRDefault="003E58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58C1" w:rsidP="00B9214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2199</w:t>
          </w:r>
        </w:p>
      </w:tc>
      <w:tc>
        <w:tcPr>
          <w:tcW w:w="2453" w:type="pct"/>
        </w:tcPr>
        <w:p w:rsidR="00EC379B" w:rsidRDefault="003E58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17.213.117</w:t>
          </w:r>
          <w:r>
            <w:fldChar w:fldCharType="end"/>
          </w:r>
        </w:p>
      </w:tc>
    </w:tr>
    <w:tr w:rsidR="00B72F58" w:rsidTr="009C1E9A">
      <w:trPr>
        <w:cantSplit/>
      </w:trPr>
      <w:tc>
        <w:tcPr>
          <w:tcW w:w="0" w:type="pct"/>
        </w:tcPr>
        <w:p w:rsidR="00EC379B" w:rsidRDefault="003E58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58C1" w:rsidP="00B92148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E58C1" w:rsidP="006D504F">
          <w:pPr>
            <w:pStyle w:val="Footer"/>
            <w:rPr>
              <w:rStyle w:val="PageNumber"/>
            </w:rPr>
          </w:pPr>
        </w:p>
        <w:p w:rsidR="00EC379B" w:rsidRDefault="003E58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F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58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E58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58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F7" w:rsidRDefault="003E5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58C1">
      <w:r>
        <w:separator/>
      </w:r>
    </w:p>
  </w:footnote>
  <w:footnote w:type="continuationSeparator" w:id="0">
    <w:p w:rsidR="00000000" w:rsidRDefault="003E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F7" w:rsidRDefault="003E5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F7" w:rsidRDefault="003E58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F7" w:rsidRDefault="003E5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58"/>
    <w:rsid w:val="003E58C1"/>
    <w:rsid w:val="00B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65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53D"/>
  </w:style>
  <w:style w:type="paragraph" w:styleId="CommentSubject">
    <w:name w:val="annotation subject"/>
    <w:basedOn w:val="CommentText"/>
    <w:next w:val="CommentText"/>
    <w:link w:val="CommentSubjectChar"/>
    <w:rsid w:val="00E1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6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65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53D"/>
  </w:style>
  <w:style w:type="paragraph" w:styleId="CommentSubject">
    <w:name w:val="annotation subject"/>
    <w:basedOn w:val="CommentText"/>
    <w:next w:val="CommentText"/>
    <w:link w:val="CommentSubjectChar"/>
    <w:rsid w:val="00E1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6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2126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HB00513 (Committee Report (Substituted))</vt:lpstr>
    </vt:vector>
  </TitlesOfParts>
  <Company>State of Texas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2199</dc:subject>
  <dc:creator>State of Texas</dc:creator>
  <dc:description>HB 331 by Davis, Sarah-(H)Ways &amp; Means</dc:description>
  <cp:lastModifiedBy>Damian Duarte</cp:lastModifiedBy>
  <cp:revision>2</cp:revision>
  <cp:lastPrinted>2017-03-31T16:10:00Z</cp:lastPrinted>
  <dcterms:created xsi:type="dcterms:W3CDTF">2017-08-03T20:49:00Z</dcterms:created>
  <dcterms:modified xsi:type="dcterms:W3CDTF">2017-08-03T20:49:00Z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17.213.117</vt:lpwstr>
  </property>
</Properties>
</file>