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A" w:rsidRDefault="00E949F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2E3BC1E15154A49AFD96AC7FF63353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949FA" w:rsidRPr="00585C31" w:rsidRDefault="00E949FA" w:rsidP="000F1DF9">
      <w:pPr>
        <w:spacing w:after="0" w:line="240" w:lineRule="auto"/>
        <w:rPr>
          <w:rFonts w:cs="Times New Roman"/>
          <w:szCs w:val="24"/>
        </w:rPr>
      </w:pPr>
    </w:p>
    <w:p w:rsidR="00E949FA" w:rsidRPr="00585C31" w:rsidRDefault="00E949F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949FA" w:rsidTr="000F1DF9">
        <w:tc>
          <w:tcPr>
            <w:tcW w:w="2718" w:type="dxa"/>
          </w:tcPr>
          <w:p w:rsidR="00E949FA" w:rsidRPr="005C2A78" w:rsidRDefault="00E949F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325E931E7CE45F1AB1C818F852C7FA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949FA" w:rsidRPr="00FF6471" w:rsidRDefault="00E949F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E4362215BF245C1BE2A0E21E41851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</w:t>
                </w:r>
              </w:sdtContent>
            </w:sdt>
          </w:p>
        </w:tc>
      </w:tr>
      <w:tr w:rsidR="00E949F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E98F0FA795648AF93D4FA914E33E993"/>
            </w:placeholder>
          </w:sdtPr>
          <w:sdtContent>
            <w:tc>
              <w:tcPr>
                <w:tcW w:w="2718" w:type="dxa"/>
              </w:tcPr>
              <w:p w:rsidR="00E949FA" w:rsidRPr="000F1DF9" w:rsidRDefault="00E949F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85S11026 JCG-D</w:t>
                </w:r>
              </w:p>
            </w:tc>
          </w:sdtContent>
        </w:sdt>
        <w:tc>
          <w:tcPr>
            <w:tcW w:w="6858" w:type="dxa"/>
          </w:tcPr>
          <w:p w:rsidR="00E949FA" w:rsidRPr="005C2A78" w:rsidRDefault="00E949F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4804FD27D694156BC0C24533668B4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1A8899D9F3B4F4E905A8AB2093EE8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Estes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835D6E9A56345498E13068728BC1593"/>
                </w:placeholder>
                <w:showingPlcHdr/>
              </w:sdtPr>
              <w:sdtContent/>
            </w:sdt>
          </w:p>
        </w:tc>
      </w:tr>
      <w:tr w:rsidR="00E949FA" w:rsidTr="000F1DF9">
        <w:tc>
          <w:tcPr>
            <w:tcW w:w="2718" w:type="dxa"/>
          </w:tcPr>
          <w:p w:rsidR="00E949FA" w:rsidRPr="00BC7495" w:rsidRDefault="00E949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49569CC832142D2918C6019930EBF07"/>
            </w:placeholder>
          </w:sdtPr>
          <w:sdtContent>
            <w:tc>
              <w:tcPr>
                <w:tcW w:w="6858" w:type="dxa"/>
              </w:tcPr>
              <w:p w:rsidR="00E949FA" w:rsidRPr="00FF6471" w:rsidRDefault="00E949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Government Reform, Select</w:t>
                </w:r>
              </w:p>
            </w:tc>
          </w:sdtContent>
        </w:sdt>
      </w:tr>
      <w:tr w:rsidR="00E949FA" w:rsidTr="000F1DF9">
        <w:tc>
          <w:tcPr>
            <w:tcW w:w="2718" w:type="dxa"/>
          </w:tcPr>
          <w:p w:rsidR="00E949FA" w:rsidRPr="00BC7495" w:rsidRDefault="00E949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47CE9BD93F8449CA8F06725C26102E5"/>
            </w:placeholder>
            <w:date w:fullDate="2017-07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949FA" w:rsidRPr="00FF6471" w:rsidRDefault="00E949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7/21/2017</w:t>
                </w:r>
              </w:p>
            </w:tc>
          </w:sdtContent>
        </w:sdt>
      </w:tr>
      <w:tr w:rsidR="00E949FA" w:rsidTr="000F1DF9">
        <w:tc>
          <w:tcPr>
            <w:tcW w:w="2718" w:type="dxa"/>
          </w:tcPr>
          <w:p w:rsidR="00E949FA" w:rsidRPr="00BC7495" w:rsidRDefault="00E949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05BBA74AEBE46BF986C44BC651D0349"/>
            </w:placeholder>
          </w:sdtPr>
          <w:sdtContent>
            <w:tc>
              <w:tcPr>
                <w:tcW w:w="6858" w:type="dxa"/>
              </w:tcPr>
              <w:p w:rsidR="00E949FA" w:rsidRPr="00FF6471" w:rsidRDefault="00E949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949FA" w:rsidRPr="00FF6471" w:rsidRDefault="00E949FA" w:rsidP="000F1DF9">
      <w:pPr>
        <w:spacing w:after="0" w:line="240" w:lineRule="auto"/>
        <w:rPr>
          <w:rFonts w:cs="Times New Roman"/>
          <w:szCs w:val="24"/>
        </w:rPr>
      </w:pPr>
    </w:p>
    <w:p w:rsidR="00E949FA" w:rsidRPr="00FF6471" w:rsidRDefault="00E949FA" w:rsidP="000F1DF9">
      <w:pPr>
        <w:spacing w:after="0" w:line="240" w:lineRule="auto"/>
        <w:rPr>
          <w:rFonts w:cs="Times New Roman"/>
          <w:szCs w:val="24"/>
        </w:rPr>
      </w:pPr>
    </w:p>
    <w:p w:rsidR="00E949FA" w:rsidRPr="00FF6471" w:rsidRDefault="00E949F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59583B3E07743288257A35C9D86BF18"/>
        </w:placeholder>
      </w:sdtPr>
      <w:sdtContent>
        <w:p w:rsidR="00E949FA" w:rsidRDefault="00E949F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B64C8D9AA0C44BBA52F69779AE6E39C"/>
        </w:placeholder>
      </w:sdtPr>
      <w:sdtContent>
        <w:p w:rsidR="00E949FA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rFonts w:eastAsia="Times New Roman" w:cstheme="minorBidi"/>
              <w:bCs/>
              <w:szCs w:val="22"/>
            </w:rPr>
          </w:pPr>
        </w:p>
        <w:p w:rsidR="00E949FA" w:rsidRPr="00E502C6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rFonts w:eastAsia="Times New Roman"/>
              <w:bCs/>
            </w:rPr>
          </w:pPr>
          <w:r w:rsidRPr="000913A6">
            <w:rPr>
              <w:color w:val="000000"/>
            </w:rPr>
            <w:t>The Texas Constitution limits state spending in four categories: debt, welfare spending, a "pay-as-you-go" requirement, and a cap on growth of certain appropriations. While the state budget must adhere to these limitations, no such restrictions apply to municipal or county spending.</w:t>
          </w:r>
        </w:p>
        <w:p w:rsidR="00E949FA" w:rsidRPr="000913A6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</w:p>
        <w:p w:rsidR="00E949FA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  <w:r>
            <w:rPr>
              <w:color w:val="000000"/>
            </w:rPr>
            <w:t>S.B.</w:t>
          </w:r>
          <w:r w:rsidRPr="000913A6">
            <w:rPr>
              <w:color w:val="000000"/>
            </w:rPr>
            <w:t xml:space="preserve"> 18 institute</w:t>
          </w:r>
          <w:r>
            <w:rPr>
              <w:color w:val="000000"/>
            </w:rPr>
            <w:t>s</w:t>
          </w:r>
          <w:r w:rsidRPr="000913A6">
            <w:rPr>
              <w:color w:val="000000"/>
            </w:rPr>
            <w:t xml:space="preserve"> a cap on growth in municipal and county expenditures. Similar to the existing state cap on growth of certain appropriations, growth in county and municipal expenditures would be limited to a rate set by the product of growth in state population and inflation:</w:t>
          </w:r>
        </w:p>
        <w:p w:rsidR="00E949FA" w:rsidRPr="000913A6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</w:p>
        <w:p w:rsidR="00E949FA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  <w:r w:rsidRPr="000913A6">
            <w:rPr>
              <w:color w:val="000000"/>
            </w:rPr>
            <w:t>EX. 1.5% population growth rate X 1.5% rate of inflation = 2.25% maximum allowable expenditure growth rate</w:t>
          </w:r>
        </w:p>
        <w:p w:rsidR="00E949FA" w:rsidRPr="000913A6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</w:p>
        <w:p w:rsidR="00E949FA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  <w:r w:rsidRPr="000913A6">
            <w:rPr>
              <w:color w:val="000000"/>
            </w:rPr>
            <w:t xml:space="preserve">This limitation on growth in local spending closely tracks that contemplated in the state spending limit </w:t>
          </w:r>
          <w:r>
            <w:rPr>
              <w:color w:val="000000"/>
            </w:rPr>
            <w:t xml:space="preserve">(S.B. 9, 85th Legislature, Regular Session, 2017, and S.B. 9, 85th Legislature, First Called Session, 2017, Hancock et al.) </w:t>
          </w:r>
        </w:p>
        <w:p w:rsidR="00E949FA" w:rsidRPr="000913A6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</w:p>
        <w:p w:rsidR="00E949FA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  <w:r w:rsidRPr="000913A6">
            <w:rPr>
              <w:color w:val="000000"/>
            </w:rPr>
            <w:t xml:space="preserve">Should the product of the population and inflation rates produce a negative rate, municipality or county expenditures would be capped at the preceding fiscal year's level. If a municipality or county sought to expend taxpayer funds that exceed those available under the maximum allowable growth rate, an affirmative local vote would be required. A vote would not be required if the area was subject to a disaster designation issued by the governor. </w:t>
          </w:r>
        </w:p>
        <w:p w:rsidR="00E949FA" w:rsidRPr="000913A6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</w:p>
        <w:p w:rsidR="00E949FA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  <w:r w:rsidRPr="000913A6">
            <w:rPr>
              <w:color w:val="000000"/>
            </w:rPr>
            <w:t>EXCLUSIONS</w:t>
          </w:r>
        </w:p>
        <w:p w:rsidR="00E949FA" w:rsidRPr="000913A6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</w:p>
        <w:p w:rsidR="00E949FA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  <w:r w:rsidRPr="000913A6">
            <w:rPr>
              <w:color w:val="000000"/>
            </w:rPr>
            <w:t>Two income sources are excluded from the calculation of available revenue and are therefore not subject to the spending limit:</w:t>
          </w:r>
        </w:p>
        <w:p w:rsidR="00E949FA" w:rsidRPr="000913A6" w:rsidRDefault="00E949FA" w:rsidP="00E949FA">
          <w:pPr>
            <w:pStyle w:val="NormalWeb"/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</w:p>
        <w:p w:rsidR="00E949FA" w:rsidRDefault="00E949FA" w:rsidP="00E949FA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  <w:r>
            <w:rPr>
              <w:color w:val="000000"/>
            </w:rPr>
            <w:t>Voter-approved bond revenue. *C</w:t>
          </w:r>
          <w:r w:rsidRPr="000913A6">
            <w:rPr>
              <w:color w:val="000000"/>
            </w:rPr>
            <w:t>orpus disbursals only</w:t>
          </w:r>
          <w:r>
            <w:rPr>
              <w:color w:val="000000"/>
            </w:rPr>
            <w:t>—</w:t>
          </w:r>
          <w:r w:rsidRPr="000913A6">
            <w:rPr>
              <w:color w:val="000000"/>
            </w:rPr>
            <w:t>all debt servicing costs are considered expenditures. This exclusion allows capital improvement p</w:t>
          </w:r>
          <w:r>
            <w:rPr>
              <w:color w:val="000000"/>
            </w:rPr>
            <w:t>rojects, typically financed by general o</w:t>
          </w:r>
          <w:r w:rsidRPr="000913A6">
            <w:rPr>
              <w:color w:val="000000"/>
            </w:rPr>
            <w:t>bligation bonds, to continue unabated.</w:t>
          </w:r>
        </w:p>
        <w:p w:rsidR="00E949FA" w:rsidRPr="000913A6" w:rsidRDefault="00E949FA" w:rsidP="00E949FA">
          <w:pPr>
            <w:pStyle w:val="NormalWeb"/>
            <w:spacing w:before="0" w:beforeAutospacing="0" w:after="0" w:afterAutospacing="0"/>
            <w:ind w:left="720"/>
            <w:jc w:val="both"/>
            <w:divId w:val="429785679"/>
            <w:rPr>
              <w:color w:val="000000"/>
            </w:rPr>
          </w:pPr>
        </w:p>
        <w:p w:rsidR="00E949FA" w:rsidRPr="00E502C6" w:rsidRDefault="00E949FA" w:rsidP="00E949FA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429785679"/>
            <w:rPr>
              <w:color w:val="000000"/>
            </w:rPr>
          </w:pPr>
          <w:r>
            <w:rPr>
              <w:color w:val="000000"/>
            </w:rPr>
            <w:t>A grant, gift, or donation. This is i</w:t>
          </w:r>
          <w:r w:rsidRPr="000913A6">
            <w:rPr>
              <w:color w:val="000000"/>
            </w:rPr>
            <w:t>mportant because without such an exclusion, the 85th Legislature's grant to local law enforcement for rifle-resistant vests could push a municipality or county over the spending limit.</w:t>
          </w:r>
        </w:p>
        <w:p w:rsidR="00E949FA" w:rsidRPr="00D70925" w:rsidRDefault="00E949FA" w:rsidP="00E949F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949FA" w:rsidRDefault="00E949F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limit on local government expenditures.</w:t>
      </w:r>
    </w:p>
    <w:p w:rsidR="00E949FA" w:rsidRPr="000913A6" w:rsidRDefault="00E949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9FA" w:rsidRPr="005C2A78" w:rsidRDefault="00E949F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FDF6359B7AE4BD8A9AD32B51B2811B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949FA" w:rsidRPr="006529C4" w:rsidRDefault="00E949F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49FA" w:rsidRPr="006529C4" w:rsidRDefault="00E949F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949FA" w:rsidRPr="006529C4" w:rsidRDefault="00E949F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49FA" w:rsidRPr="005C2A78" w:rsidRDefault="00E949F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3E7598E8B5F4E2D89CD472F4CCAF43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949FA" w:rsidRPr="005C2A78" w:rsidRDefault="00E949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9FA" w:rsidRDefault="00E949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140, Local Government Code, by adding Section 140.012, as follows: </w:t>
      </w:r>
    </w:p>
    <w:p w:rsidR="00E949FA" w:rsidRDefault="00E949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140.012. LIMIT ON ANNUAL EXPENDITURES. </w:t>
      </w:r>
      <w:r w:rsidRPr="000913A6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 xml:space="preserve">Defines “local government.” </w:t>
      </w: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</w:t>
      </w:r>
      <w:r w:rsidRPr="000913A6">
        <w:rPr>
          <w:rFonts w:eastAsia="Times New Roman" w:cs="Times New Roman"/>
          <w:szCs w:val="24"/>
        </w:rPr>
        <w:t>a local government's total expenditures from all available sources of revenue in a fiscal year</w:t>
      </w:r>
      <w:r>
        <w:rPr>
          <w:rFonts w:eastAsia="Times New Roman" w:cs="Times New Roman"/>
          <w:szCs w:val="24"/>
        </w:rPr>
        <w:t>, e</w:t>
      </w:r>
      <w:r w:rsidRPr="000913A6">
        <w:rPr>
          <w:rFonts w:eastAsia="Times New Roman" w:cs="Times New Roman"/>
          <w:szCs w:val="24"/>
        </w:rPr>
        <w:t xml:space="preserve">xcept as provided by Subsection (d), </w:t>
      </w:r>
      <w:r>
        <w:rPr>
          <w:rFonts w:eastAsia="Times New Roman" w:cs="Times New Roman"/>
          <w:szCs w:val="24"/>
        </w:rPr>
        <w:t>from exceeding</w:t>
      </w:r>
      <w:r w:rsidRPr="000913A6">
        <w:rPr>
          <w:rFonts w:eastAsia="Times New Roman" w:cs="Times New Roman"/>
          <w:szCs w:val="24"/>
        </w:rPr>
        <w:t xml:space="preserve"> the greater of: </w:t>
      </w: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913A6">
        <w:rPr>
          <w:rFonts w:eastAsia="Times New Roman" w:cs="Times New Roman"/>
          <w:szCs w:val="24"/>
        </w:rPr>
        <w:t xml:space="preserve">the local government's total expenditures from all available sources of revenue in the preceding fiscal year; or </w:t>
      </w: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913A6">
        <w:rPr>
          <w:rFonts w:eastAsia="Times New Roman" w:cs="Times New Roman"/>
          <w:szCs w:val="24"/>
        </w:rPr>
        <w:t xml:space="preserve">an amount determined by multiplying: </w:t>
      </w: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0913A6">
        <w:rPr>
          <w:rFonts w:eastAsia="Times New Roman" w:cs="Times New Roman"/>
          <w:szCs w:val="24"/>
        </w:rPr>
        <w:t xml:space="preserve">the local government's total expenditures from all available sources of revenue in the preceding fiscal year; and </w:t>
      </w:r>
    </w:p>
    <w:p w:rsidR="00E949FA" w:rsidRPr="000913A6" w:rsidRDefault="00E949FA" w:rsidP="000913A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0913A6">
        <w:rPr>
          <w:rFonts w:eastAsia="Times New Roman" w:cs="Times New Roman"/>
          <w:szCs w:val="24"/>
        </w:rPr>
        <w:t>the sum of one and the rate most recently published by the Legislative Budget Board</w:t>
      </w:r>
      <w:r>
        <w:rPr>
          <w:rFonts w:eastAsia="Times New Roman" w:cs="Times New Roman"/>
          <w:szCs w:val="24"/>
        </w:rPr>
        <w:t xml:space="preserve"> (LBB)</w:t>
      </w:r>
      <w:r w:rsidRPr="000913A6">
        <w:rPr>
          <w:rFonts w:eastAsia="Times New Roman" w:cs="Times New Roman"/>
          <w:szCs w:val="24"/>
        </w:rPr>
        <w:t xml:space="preserve"> under Subsection (c). </w:t>
      </w: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913A6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Requires LBB staff, n</w:t>
      </w:r>
      <w:r w:rsidRPr="000913A6">
        <w:rPr>
          <w:rFonts w:eastAsia="Times New Roman" w:cs="Times New Roman"/>
          <w:szCs w:val="24"/>
        </w:rPr>
        <w:t xml:space="preserve">ot later than January 31 of each year, </w:t>
      </w:r>
      <w:r>
        <w:rPr>
          <w:rFonts w:eastAsia="Times New Roman" w:cs="Times New Roman"/>
          <w:szCs w:val="24"/>
        </w:rPr>
        <w:t>to</w:t>
      </w:r>
      <w:r w:rsidRPr="000913A6">
        <w:rPr>
          <w:rFonts w:eastAsia="Times New Roman" w:cs="Times New Roman"/>
          <w:szCs w:val="24"/>
        </w:rPr>
        <w:t xml:space="preserve"> publish a rate equal to the product of: </w:t>
      </w: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913A6">
        <w:rPr>
          <w:rFonts w:eastAsia="Times New Roman" w:cs="Times New Roman"/>
          <w:szCs w:val="24"/>
        </w:rPr>
        <w:t xml:space="preserve">the rate of growth of this state's population during the preceding calendar year, using the most recent estimates published by the United States Census Bureau; and </w:t>
      </w: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913A6">
        <w:rPr>
          <w:rFonts w:eastAsia="Times New Roman" w:cs="Times New Roman"/>
          <w:szCs w:val="24"/>
        </w:rPr>
        <w:t xml:space="preserve">the rate of monetary inflation in this state during the preceding calendar year, using the effective consumer price index for all items for this state as determined by </w:t>
      </w:r>
      <w:r>
        <w:rPr>
          <w:rFonts w:eastAsia="Times New Roman" w:cs="Times New Roman"/>
          <w:szCs w:val="24"/>
        </w:rPr>
        <w:t>LBB</w:t>
      </w:r>
      <w:r w:rsidRPr="000913A6">
        <w:rPr>
          <w:rFonts w:eastAsia="Times New Roman" w:cs="Times New Roman"/>
          <w:szCs w:val="24"/>
        </w:rPr>
        <w:t xml:space="preserve"> based on information published by the Bureau of Labor Statistics of the United States Department of Labor. </w:t>
      </w: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a</w:t>
      </w:r>
      <w:r w:rsidRPr="000913A6">
        <w:rPr>
          <w:rFonts w:eastAsia="Times New Roman" w:cs="Times New Roman"/>
          <w:szCs w:val="24"/>
        </w:rPr>
        <w:t xml:space="preserve"> local government's total expenditures from all available sources of local revenue in a fiscal year </w:t>
      </w:r>
      <w:r>
        <w:rPr>
          <w:rFonts w:eastAsia="Times New Roman" w:cs="Times New Roman"/>
          <w:szCs w:val="24"/>
        </w:rPr>
        <w:t>to</w:t>
      </w:r>
      <w:r w:rsidRPr="000913A6">
        <w:rPr>
          <w:rFonts w:eastAsia="Times New Roman" w:cs="Times New Roman"/>
          <w:szCs w:val="24"/>
        </w:rPr>
        <w:t xml:space="preserve"> exceed the amount described by Subsection (b) if: </w:t>
      </w: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913A6">
        <w:rPr>
          <w:rFonts w:eastAsia="Times New Roman" w:cs="Times New Roman"/>
          <w:szCs w:val="24"/>
        </w:rPr>
        <w:t xml:space="preserve">the local government's voters approve the additional expenditures for that fiscal year at an election called for that purpose and held on a uniform election date; or </w:t>
      </w: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949FA" w:rsidRPr="000913A6" w:rsidRDefault="00E949FA" w:rsidP="000913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913A6">
        <w:rPr>
          <w:rFonts w:eastAsia="Times New Roman" w:cs="Times New Roman"/>
          <w:szCs w:val="24"/>
        </w:rPr>
        <w:t>the governor declares or renews a declaration of a state of disaster under Section 418.014</w:t>
      </w:r>
      <w:r>
        <w:rPr>
          <w:rFonts w:eastAsia="Times New Roman" w:cs="Times New Roman"/>
          <w:szCs w:val="24"/>
        </w:rPr>
        <w:t xml:space="preserve"> (Declaration of State of Disaster)</w:t>
      </w:r>
      <w:r w:rsidRPr="000913A6">
        <w:rPr>
          <w:rFonts w:eastAsia="Times New Roman" w:cs="Times New Roman"/>
          <w:szCs w:val="24"/>
        </w:rPr>
        <w:t xml:space="preserve">, Government Code, in that fiscal year, and the governor's designation of the area threatened includes all or part of the geographic territory of the local government. </w:t>
      </w:r>
    </w:p>
    <w:p w:rsidR="00E949FA" w:rsidRPr="000913A6" w:rsidRDefault="00E949FA" w:rsidP="000913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9FA" w:rsidRPr="005C2A78" w:rsidRDefault="00E949FA" w:rsidP="000913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r</w:t>
      </w:r>
      <w:r w:rsidRPr="000913A6">
        <w:rPr>
          <w:rFonts w:eastAsia="Times New Roman" w:cs="Times New Roman"/>
          <w:szCs w:val="24"/>
        </w:rPr>
        <w:t>evenue received from the issuance of bonds approved by the voters or from a grant, donation, or gift is not considered an available source of revenue for the purposes of this section.</w:t>
      </w:r>
    </w:p>
    <w:p w:rsidR="00E949FA" w:rsidRPr="005C2A78" w:rsidRDefault="00E949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9FA" w:rsidRPr="005C2A78" w:rsidRDefault="00E949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Section 140.012, Local Government Code, as added by this Act, prospective to December 1, 2017.</w:t>
      </w:r>
    </w:p>
    <w:p w:rsidR="00E949FA" w:rsidRPr="005C2A78" w:rsidRDefault="00E949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9FA" w:rsidRPr="005C2A78" w:rsidRDefault="00E949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December 1, 2017. </w:t>
      </w:r>
    </w:p>
    <w:p w:rsidR="00E949FA" w:rsidRPr="006529C4" w:rsidRDefault="00E949F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49FA" w:rsidRPr="006529C4" w:rsidRDefault="00E949FA" w:rsidP="00774EC7">
      <w:pPr>
        <w:spacing w:after="0" w:line="240" w:lineRule="auto"/>
        <w:jc w:val="both"/>
      </w:pPr>
    </w:p>
    <w:sectPr w:rsidR="00E949FA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25" w:rsidRDefault="00206425" w:rsidP="000F1DF9">
      <w:pPr>
        <w:spacing w:after="0" w:line="240" w:lineRule="auto"/>
      </w:pPr>
      <w:r>
        <w:separator/>
      </w:r>
    </w:p>
  </w:endnote>
  <w:endnote w:type="continuationSeparator" w:id="0">
    <w:p w:rsidR="00206425" w:rsidRDefault="0020642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0642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949FA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949FA">
                <w:rPr>
                  <w:sz w:val="20"/>
                  <w:szCs w:val="20"/>
                </w:rPr>
                <w:t>S.B. 18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949FA">
                <w:rPr>
                  <w:sz w:val="20"/>
                  <w:szCs w:val="20"/>
                </w:rPr>
                <w:t>85(1)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0642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949F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949F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25" w:rsidRDefault="00206425" w:rsidP="000F1DF9">
      <w:pPr>
        <w:spacing w:after="0" w:line="240" w:lineRule="auto"/>
      </w:pPr>
      <w:r>
        <w:separator/>
      </w:r>
    </w:p>
  </w:footnote>
  <w:footnote w:type="continuationSeparator" w:id="0">
    <w:p w:rsidR="00206425" w:rsidRDefault="00206425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BED"/>
    <w:multiLevelType w:val="hybridMultilevel"/>
    <w:tmpl w:val="4CF0E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06425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49FA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9F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9F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334F4" w:rsidP="009334F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2E3BC1E15154A49AFD96AC7FF63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6743-B181-434A-B254-2AB9EFAA105E}"/>
      </w:docPartPr>
      <w:docPartBody>
        <w:p w:rsidR="00000000" w:rsidRDefault="00407750"/>
      </w:docPartBody>
    </w:docPart>
    <w:docPart>
      <w:docPartPr>
        <w:name w:val="7325E931E7CE45F1AB1C818F852C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5196-8845-4A78-84D9-D3402D3A9978}"/>
      </w:docPartPr>
      <w:docPartBody>
        <w:p w:rsidR="00000000" w:rsidRDefault="00407750"/>
      </w:docPartBody>
    </w:docPart>
    <w:docPart>
      <w:docPartPr>
        <w:name w:val="7E4362215BF245C1BE2A0E21E418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A100-9D98-480D-BFC5-3EF2CD74900C}"/>
      </w:docPartPr>
      <w:docPartBody>
        <w:p w:rsidR="00000000" w:rsidRDefault="00407750"/>
      </w:docPartBody>
    </w:docPart>
    <w:docPart>
      <w:docPartPr>
        <w:name w:val="7E98F0FA795648AF93D4FA914E33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4806-F41A-4594-BD59-ADDEE3B2EE4E}"/>
      </w:docPartPr>
      <w:docPartBody>
        <w:p w:rsidR="00000000" w:rsidRDefault="00407750"/>
      </w:docPartBody>
    </w:docPart>
    <w:docPart>
      <w:docPartPr>
        <w:name w:val="04804FD27D694156BC0C24533668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95F2-20DF-4F6F-BC81-9BA517C4EBF4}"/>
      </w:docPartPr>
      <w:docPartBody>
        <w:p w:rsidR="00000000" w:rsidRDefault="00407750"/>
      </w:docPartBody>
    </w:docPart>
    <w:docPart>
      <w:docPartPr>
        <w:name w:val="61A8899D9F3B4F4E905A8AB2093E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9F11-D6D0-49AE-B4D0-21FC70984C00}"/>
      </w:docPartPr>
      <w:docPartBody>
        <w:p w:rsidR="00000000" w:rsidRDefault="00407750"/>
      </w:docPartBody>
    </w:docPart>
    <w:docPart>
      <w:docPartPr>
        <w:name w:val="5835D6E9A56345498E13068728BC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03F3-829D-4471-853E-D664E299C52F}"/>
      </w:docPartPr>
      <w:docPartBody>
        <w:p w:rsidR="00000000" w:rsidRDefault="00407750"/>
      </w:docPartBody>
    </w:docPart>
    <w:docPart>
      <w:docPartPr>
        <w:name w:val="549569CC832142D2918C6019930E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6C46-0BFF-425A-ADA7-DBDCD2F5B6B8}"/>
      </w:docPartPr>
      <w:docPartBody>
        <w:p w:rsidR="00000000" w:rsidRDefault="00407750"/>
      </w:docPartBody>
    </w:docPart>
    <w:docPart>
      <w:docPartPr>
        <w:name w:val="747CE9BD93F8449CA8F06725C261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0038-6852-498A-BA97-ED5AC9B097DE}"/>
      </w:docPartPr>
      <w:docPartBody>
        <w:p w:rsidR="00000000" w:rsidRDefault="009334F4" w:rsidP="009334F4">
          <w:pPr>
            <w:pStyle w:val="747CE9BD93F8449CA8F06725C26102E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05BBA74AEBE46BF986C44BC651D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F5B2-833E-40B9-88FB-FEEB67EFDF97}"/>
      </w:docPartPr>
      <w:docPartBody>
        <w:p w:rsidR="00000000" w:rsidRDefault="00407750"/>
      </w:docPartBody>
    </w:docPart>
    <w:docPart>
      <w:docPartPr>
        <w:name w:val="959583B3E07743288257A35C9D86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FF2B-6375-46F8-B0C2-E7F4C69317A2}"/>
      </w:docPartPr>
      <w:docPartBody>
        <w:p w:rsidR="00000000" w:rsidRDefault="00407750"/>
      </w:docPartBody>
    </w:docPart>
    <w:docPart>
      <w:docPartPr>
        <w:name w:val="8B64C8D9AA0C44BBA52F69779AE6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1CB1-1CE2-4CE9-872B-0A41E91B7E01}"/>
      </w:docPartPr>
      <w:docPartBody>
        <w:p w:rsidR="00000000" w:rsidRDefault="009334F4" w:rsidP="009334F4">
          <w:pPr>
            <w:pStyle w:val="8B64C8D9AA0C44BBA52F69779AE6E39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FDF6359B7AE4BD8A9AD32B51B28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BAE1-7858-4595-8069-60C75D034B8B}"/>
      </w:docPartPr>
      <w:docPartBody>
        <w:p w:rsidR="00000000" w:rsidRDefault="00407750"/>
      </w:docPartBody>
    </w:docPart>
    <w:docPart>
      <w:docPartPr>
        <w:name w:val="03E7598E8B5F4E2D89CD472F4CCA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67DD-EE44-4593-8DFF-9017FB7E9ECA}"/>
      </w:docPartPr>
      <w:docPartBody>
        <w:p w:rsidR="00000000" w:rsidRDefault="004077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0775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334F4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4F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334F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334F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334F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47CE9BD93F8449CA8F06725C26102E5">
    <w:name w:val="747CE9BD93F8449CA8F06725C26102E5"/>
    <w:rsid w:val="009334F4"/>
  </w:style>
  <w:style w:type="paragraph" w:customStyle="1" w:styleId="8B64C8D9AA0C44BBA52F69779AE6E39C">
    <w:name w:val="8B64C8D9AA0C44BBA52F69779AE6E39C"/>
    <w:rsid w:val="009334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4F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334F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334F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334F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47CE9BD93F8449CA8F06725C26102E5">
    <w:name w:val="747CE9BD93F8449CA8F06725C26102E5"/>
    <w:rsid w:val="009334F4"/>
  </w:style>
  <w:style w:type="paragraph" w:customStyle="1" w:styleId="8B64C8D9AA0C44BBA52F69779AE6E39C">
    <w:name w:val="8B64C8D9AA0C44BBA52F69779AE6E39C"/>
    <w:rsid w:val="00933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2A6E688-B9DC-446A-B778-546BD7C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709</Words>
  <Characters>4046</Characters>
  <Application>Microsoft Office Word</Application>
  <DocSecurity>0</DocSecurity>
  <Lines>33</Lines>
  <Paragraphs>9</Paragraphs>
  <ScaleCrop>false</ScaleCrop>
  <Company>Texas Legislative Council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2017-07-21T13:41:00Z</cp:lastPrinted>
  <dcterms:created xsi:type="dcterms:W3CDTF">2015-05-29T14:24:00Z</dcterms:created>
  <dcterms:modified xsi:type="dcterms:W3CDTF">2017-07-21T13:41:00Z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