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4607" w:rsidTr="00345119">
        <w:tc>
          <w:tcPr>
            <w:tcW w:w="9576" w:type="dxa"/>
            <w:noWrap/>
          </w:tcPr>
          <w:p w:rsidR="008423E4" w:rsidRPr="0022177D" w:rsidRDefault="002B7F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B7F3C" w:rsidP="008423E4">
      <w:pPr>
        <w:jc w:val="center"/>
      </w:pPr>
    </w:p>
    <w:p w:rsidR="008423E4" w:rsidRPr="00B31F0E" w:rsidRDefault="002B7F3C" w:rsidP="008423E4"/>
    <w:p w:rsidR="008423E4" w:rsidRPr="00742794" w:rsidRDefault="002B7F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4607" w:rsidTr="00345119">
        <w:tc>
          <w:tcPr>
            <w:tcW w:w="9576" w:type="dxa"/>
          </w:tcPr>
          <w:p w:rsidR="008423E4" w:rsidRPr="00861995" w:rsidRDefault="002B7F3C" w:rsidP="00345119">
            <w:pPr>
              <w:jc w:val="right"/>
            </w:pPr>
            <w:r>
              <w:t>C.S.H.B. 53</w:t>
            </w:r>
          </w:p>
        </w:tc>
      </w:tr>
      <w:tr w:rsidR="009B4607" w:rsidTr="00345119">
        <w:tc>
          <w:tcPr>
            <w:tcW w:w="9576" w:type="dxa"/>
          </w:tcPr>
          <w:p w:rsidR="008423E4" w:rsidRPr="00861995" w:rsidRDefault="002B7F3C" w:rsidP="00813514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9B4607" w:rsidTr="00345119">
        <w:tc>
          <w:tcPr>
            <w:tcW w:w="9576" w:type="dxa"/>
          </w:tcPr>
          <w:p w:rsidR="008423E4" w:rsidRPr="00861995" w:rsidRDefault="002B7F3C" w:rsidP="00345119">
            <w:pPr>
              <w:jc w:val="right"/>
            </w:pPr>
            <w:r>
              <w:t>Judiciary &amp; Civil Jurisprudence</w:t>
            </w:r>
          </w:p>
        </w:tc>
      </w:tr>
      <w:tr w:rsidR="009B4607" w:rsidTr="00345119">
        <w:tc>
          <w:tcPr>
            <w:tcW w:w="9576" w:type="dxa"/>
          </w:tcPr>
          <w:p w:rsidR="008423E4" w:rsidRDefault="002B7F3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B7F3C" w:rsidP="008423E4">
      <w:pPr>
        <w:tabs>
          <w:tab w:val="right" w:pos="9360"/>
        </w:tabs>
      </w:pPr>
    </w:p>
    <w:p w:rsidR="008423E4" w:rsidRDefault="002B7F3C" w:rsidP="008423E4"/>
    <w:p w:rsidR="008423E4" w:rsidRDefault="002B7F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B4607" w:rsidTr="00813514">
        <w:tc>
          <w:tcPr>
            <w:tcW w:w="9582" w:type="dxa"/>
          </w:tcPr>
          <w:p w:rsidR="008423E4" w:rsidRPr="00A8133F" w:rsidRDefault="002B7F3C" w:rsidP="00BB79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B7F3C" w:rsidP="00BB798C"/>
          <w:p w:rsidR="008423E4" w:rsidRDefault="002B7F3C" w:rsidP="00BB798C">
            <w:pPr>
              <w:pStyle w:val="Header"/>
              <w:jc w:val="both"/>
            </w:pPr>
            <w:r>
              <w:t>Interested parties are concerned that when a governmental entity enters into a s</w:t>
            </w:r>
            <w:r>
              <w:t xml:space="preserve">ettlement agreement </w:t>
            </w:r>
            <w:r>
              <w:t xml:space="preserve">paired with a </w:t>
            </w:r>
            <w:r>
              <w:t>non-disclosure agreement</w:t>
            </w:r>
            <w:r>
              <w:t>,</w:t>
            </w:r>
            <w:r>
              <w:t xml:space="preserve"> the public</w:t>
            </w:r>
            <w:r>
              <w:t>'s</w:t>
            </w:r>
            <w:r>
              <w:t xml:space="preserve"> interest </w:t>
            </w:r>
            <w:r>
              <w:t xml:space="preserve">is adversely affected </w:t>
            </w:r>
            <w:r>
              <w:t xml:space="preserve">due to a lack of </w:t>
            </w:r>
            <w:r>
              <w:t xml:space="preserve">transparency regarding </w:t>
            </w:r>
            <w:r>
              <w:t xml:space="preserve">the basic </w:t>
            </w:r>
            <w:r>
              <w:t xml:space="preserve">allegations </w:t>
            </w:r>
            <w:r>
              <w:t>or facts</w:t>
            </w:r>
            <w:r>
              <w:t xml:space="preserve"> of the case, </w:t>
            </w:r>
            <w:r>
              <w:t xml:space="preserve">even though taxpayer dollars </w:t>
            </w:r>
            <w:r>
              <w:t xml:space="preserve">are </w:t>
            </w:r>
            <w:r>
              <w:t xml:space="preserve">being used to investigate </w:t>
            </w:r>
            <w:r>
              <w:t xml:space="preserve">and prosecute the case and </w:t>
            </w:r>
            <w:r>
              <w:t xml:space="preserve">to </w:t>
            </w:r>
            <w:r>
              <w:t>pay the settl</w:t>
            </w:r>
            <w:r>
              <w:t>ement</w:t>
            </w:r>
            <w:r>
              <w:t xml:space="preserve">. </w:t>
            </w:r>
            <w:r>
              <w:t>C.S.</w:t>
            </w:r>
            <w:r>
              <w:t xml:space="preserve">H.B. 53 seeks to </w:t>
            </w:r>
            <w:r>
              <w:t xml:space="preserve">increase transparency </w:t>
            </w:r>
            <w:r>
              <w:t xml:space="preserve">by prohibiting a governmental unit from entering into </w:t>
            </w:r>
            <w:r>
              <w:t xml:space="preserve">certain </w:t>
            </w:r>
            <w:r>
              <w:t xml:space="preserve">settlement </w:t>
            </w:r>
            <w:r>
              <w:t xml:space="preserve">agreements </w:t>
            </w:r>
            <w:r>
              <w:t xml:space="preserve">if </w:t>
            </w:r>
            <w:r>
              <w:t>the aggrieved party is required to consent to</w:t>
            </w:r>
            <w:r>
              <w:t xml:space="preserve"> </w:t>
            </w:r>
            <w:r>
              <w:t xml:space="preserve">a </w:t>
            </w:r>
            <w:r>
              <w:t xml:space="preserve">non-disclosure agreement </w:t>
            </w:r>
            <w:r>
              <w:t>a</w:t>
            </w:r>
            <w:r>
              <w:t>s a condition of the settlement.</w:t>
            </w:r>
          </w:p>
          <w:p w:rsidR="008423E4" w:rsidRPr="00E26B13" w:rsidRDefault="002B7F3C" w:rsidP="00BB798C">
            <w:pPr>
              <w:rPr>
                <w:b/>
              </w:rPr>
            </w:pPr>
          </w:p>
        </w:tc>
      </w:tr>
      <w:tr w:rsidR="009B4607" w:rsidTr="00813514">
        <w:tc>
          <w:tcPr>
            <w:tcW w:w="9582" w:type="dxa"/>
          </w:tcPr>
          <w:p w:rsidR="0017725B" w:rsidRDefault="002B7F3C" w:rsidP="00BB7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2B7F3C" w:rsidP="00BB798C">
            <w:pPr>
              <w:rPr>
                <w:b/>
                <w:u w:val="single"/>
              </w:rPr>
            </w:pPr>
          </w:p>
          <w:p w:rsidR="00E477FD" w:rsidRPr="00E477FD" w:rsidRDefault="002B7F3C" w:rsidP="00BB798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2B7F3C" w:rsidP="00BB798C">
            <w:pPr>
              <w:rPr>
                <w:b/>
                <w:u w:val="single"/>
              </w:rPr>
            </w:pPr>
          </w:p>
        </w:tc>
      </w:tr>
      <w:tr w:rsidR="009B4607" w:rsidTr="00813514">
        <w:tc>
          <w:tcPr>
            <w:tcW w:w="9582" w:type="dxa"/>
          </w:tcPr>
          <w:p w:rsidR="008423E4" w:rsidRPr="00A8133F" w:rsidRDefault="002B7F3C" w:rsidP="00BB79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B7F3C" w:rsidP="00BB798C"/>
          <w:p w:rsidR="00E477FD" w:rsidRDefault="002B7F3C" w:rsidP="00BB79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B7F3C" w:rsidP="00BB798C">
            <w:pPr>
              <w:rPr>
                <w:b/>
              </w:rPr>
            </w:pPr>
          </w:p>
        </w:tc>
      </w:tr>
      <w:tr w:rsidR="009B4607" w:rsidTr="00813514">
        <w:tc>
          <w:tcPr>
            <w:tcW w:w="9582" w:type="dxa"/>
          </w:tcPr>
          <w:p w:rsidR="008423E4" w:rsidRPr="00A8133F" w:rsidRDefault="002B7F3C" w:rsidP="00BB79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B7F3C" w:rsidP="00BB798C"/>
          <w:p w:rsidR="007A28CB" w:rsidRDefault="002B7F3C" w:rsidP="00BB798C">
            <w:pPr>
              <w:pStyle w:val="Header"/>
              <w:jc w:val="both"/>
            </w:pPr>
            <w:r>
              <w:t>C.S.</w:t>
            </w:r>
            <w:r>
              <w:t>H.B. 53 amends the Civil Practice and Remedies Code to prohibit a governmental unit from entering into a settlement of a claim o</w:t>
            </w:r>
            <w:r>
              <w:t>r</w:t>
            </w:r>
            <w:r>
              <w:t xml:space="preserve"> action against the governmental unit in which the amount of the settlement is equal to or greater than $30,000 and a condition</w:t>
            </w:r>
            <w:r>
              <w:t xml:space="preserve"> of the settlement requires a party seeking affirmative relief against the governmental unit to agree not to disclose any fact, allegation, evidence, or other matter to any other person, including a journalist or other member of the media. The </w:t>
            </w:r>
            <w:r>
              <w:t xml:space="preserve">bill </w:t>
            </w:r>
            <w:r>
              <w:t>makes</w:t>
            </w:r>
            <w:r>
              <w:t xml:space="preserve"> a</w:t>
            </w:r>
            <w:r>
              <w:t xml:space="preserve"> settlement agreement provision entered into in violation of </w:t>
            </w:r>
            <w:r>
              <w:t>this</w:t>
            </w:r>
            <w:r>
              <w:t xml:space="preserve"> prohibition void and unenforceable. </w:t>
            </w:r>
            <w:r>
              <w:t xml:space="preserve">The bill </w:t>
            </w:r>
            <w:r>
              <w:t xml:space="preserve">expressly </w:t>
            </w:r>
            <w:r>
              <w:t xml:space="preserve">does not affect information that is privileged or confidential under other law. </w:t>
            </w:r>
          </w:p>
          <w:p w:rsidR="008423E4" w:rsidRPr="00835628" w:rsidRDefault="002B7F3C" w:rsidP="00BB798C">
            <w:pPr>
              <w:rPr>
                <w:b/>
              </w:rPr>
            </w:pPr>
          </w:p>
        </w:tc>
      </w:tr>
      <w:tr w:rsidR="009B4607" w:rsidTr="00813514">
        <w:tc>
          <w:tcPr>
            <w:tcW w:w="9582" w:type="dxa"/>
          </w:tcPr>
          <w:p w:rsidR="008423E4" w:rsidRPr="00A8133F" w:rsidRDefault="002B7F3C" w:rsidP="00BB79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B7F3C" w:rsidP="00BB798C"/>
          <w:p w:rsidR="008423E4" w:rsidRDefault="002B7F3C" w:rsidP="00BB79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BB798C" w:rsidRPr="00F306D8" w:rsidRDefault="002B7F3C" w:rsidP="00BB79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B4607" w:rsidTr="00813514">
        <w:tc>
          <w:tcPr>
            <w:tcW w:w="9582" w:type="dxa"/>
          </w:tcPr>
          <w:p w:rsidR="00813514" w:rsidRDefault="002B7F3C" w:rsidP="00BB798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E97C56" w:rsidRDefault="002B7F3C" w:rsidP="00BB798C">
            <w:pPr>
              <w:jc w:val="both"/>
            </w:pPr>
          </w:p>
          <w:p w:rsidR="00E97C56" w:rsidRDefault="002B7F3C" w:rsidP="00BB798C">
            <w:pPr>
              <w:jc w:val="both"/>
            </w:pPr>
            <w:r>
              <w:t xml:space="preserve">While C.S.H.B. </w:t>
            </w:r>
            <w:r>
              <w:t>53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</w:t>
            </w:r>
            <w:r>
              <w:t>ute versions of the bill.</w:t>
            </w:r>
          </w:p>
          <w:p w:rsidR="00E97C56" w:rsidRPr="00E97C56" w:rsidRDefault="002B7F3C" w:rsidP="00BB798C">
            <w:pPr>
              <w:jc w:val="both"/>
            </w:pPr>
          </w:p>
        </w:tc>
      </w:tr>
      <w:tr w:rsidR="009B4607" w:rsidTr="00813514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9B4607" w:rsidTr="00813514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813514" w:rsidRDefault="002B7F3C" w:rsidP="00BB798C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813514" w:rsidRDefault="002B7F3C" w:rsidP="00BB798C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9B4607" w:rsidTr="00813514">
              <w:tc>
                <w:tcPr>
                  <w:tcW w:w="4673" w:type="dxa"/>
                  <w:tcMar>
                    <w:right w:w="360" w:type="dxa"/>
                  </w:tcMar>
                </w:tcPr>
                <w:p w:rsidR="00813514" w:rsidRDefault="002B7F3C" w:rsidP="00BB798C">
                  <w:pPr>
                    <w:jc w:val="both"/>
                  </w:pPr>
                  <w:r>
                    <w:t xml:space="preserve">SECTION 1.  Title 5, Civil Practice and </w:t>
                  </w:r>
                  <w:r>
                    <w:lastRenderedPageBreak/>
                    <w:t>Remedies Code, is amended by adding Chapter 116 to read as follows:</w:t>
                  </w:r>
                </w:p>
                <w:p w:rsidR="00813514" w:rsidRDefault="002B7F3C" w:rsidP="00BB798C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CHAPTER 116. SETTLEMENT OF CLAIM OR ACTION AGAINST A GOVERNMENTAL UNIT</w:t>
                  </w:r>
                </w:p>
                <w:p w:rsidR="00CF1930" w:rsidRDefault="002B7F3C" w:rsidP="00BB798C">
                  <w:pPr>
                    <w:jc w:val="both"/>
                  </w:pPr>
                </w:p>
                <w:p w:rsidR="00CF1930" w:rsidRDefault="002B7F3C" w:rsidP="00BB798C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</w:t>
                  </w:r>
                  <w:r>
                    <w:rPr>
                      <w:u w:val="single"/>
                    </w:rPr>
                    <w:t>116.001.  DEFINITION.</w:t>
                  </w:r>
                </w:p>
                <w:p w:rsidR="00813514" w:rsidRDefault="002B7F3C" w:rsidP="00BB798C">
                  <w:pPr>
                    <w:jc w:val="both"/>
                  </w:pPr>
                </w:p>
                <w:p w:rsidR="00CF1930" w:rsidRDefault="002B7F3C" w:rsidP="00BB798C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116.002.  CERTAIN SETTLEMENT TERMS PROHIBITED.</w:t>
                  </w:r>
                </w:p>
                <w:p w:rsidR="00813514" w:rsidRDefault="002B7F3C" w:rsidP="00BB798C">
                  <w:pPr>
                    <w:jc w:val="both"/>
                  </w:pPr>
                </w:p>
                <w:p w:rsidR="00813514" w:rsidRPr="00E97C56" w:rsidRDefault="002B7F3C" w:rsidP="00BB798C">
                  <w:pPr>
                    <w:jc w:val="both"/>
                    <w:rPr>
                      <w:highlight w:val="lightGray"/>
                    </w:rPr>
                  </w:pPr>
                  <w:r w:rsidRPr="00E97C56">
                    <w:rPr>
                      <w:highlight w:val="lightGray"/>
                      <w:u w:val="single"/>
                    </w:rPr>
                    <w:t>Sec. 116.003.  ADMISSIBILITY OF CERTAIN EVIDENCE RELATING TO SETTLEMENT NEGOTIATION.  (a) Evidence of offering, providing, accepting, promising to provide, or offering or promising</w:t>
                  </w:r>
                  <w:r w:rsidRPr="00E97C56">
                    <w:rPr>
                      <w:highlight w:val="lightGray"/>
                      <w:u w:val="single"/>
                    </w:rPr>
                    <w:t xml:space="preserve"> to accept valuable consideration in settling or attempting to settle a claim against a governmental unit is not admissible to prove:</w:t>
                  </w:r>
                </w:p>
                <w:p w:rsidR="00813514" w:rsidRPr="00E97C56" w:rsidRDefault="002B7F3C" w:rsidP="00BB798C">
                  <w:pPr>
                    <w:jc w:val="both"/>
                    <w:rPr>
                      <w:highlight w:val="lightGray"/>
                    </w:rPr>
                  </w:pPr>
                  <w:r w:rsidRPr="00E97C56">
                    <w:rPr>
                      <w:highlight w:val="lightGray"/>
                      <w:u w:val="single"/>
                    </w:rPr>
                    <w:t>(1)  liability for the claim;</w:t>
                  </w:r>
                </w:p>
                <w:p w:rsidR="00813514" w:rsidRPr="00E97C56" w:rsidRDefault="002B7F3C" w:rsidP="00BB798C">
                  <w:pPr>
                    <w:jc w:val="both"/>
                    <w:rPr>
                      <w:highlight w:val="lightGray"/>
                    </w:rPr>
                  </w:pPr>
                  <w:r w:rsidRPr="00E97C56">
                    <w:rPr>
                      <w:highlight w:val="lightGray"/>
                      <w:u w:val="single"/>
                    </w:rPr>
                    <w:t>(2)  the invalidity of the claim; or</w:t>
                  </w:r>
                </w:p>
                <w:p w:rsidR="00813514" w:rsidRPr="00E97C56" w:rsidRDefault="002B7F3C" w:rsidP="00BB798C">
                  <w:pPr>
                    <w:jc w:val="both"/>
                    <w:rPr>
                      <w:highlight w:val="lightGray"/>
                    </w:rPr>
                  </w:pPr>
                  <w:r w:rsidRPr="00E97C56">
                    <w:rPr>
                      <w:highlight w:val="lightGray"/>
                      <w:u w:val="single"/>
                    </w:rPr>
                    <w:t>(3)  the amount of liability for the claim.</w:t>
                  </w:r>
                </w:p>
                <w:p w:rsidR="00813514" w:rsidRPr="00E97C56" w:rsidRDefault="002B7F3C" w:rsidP="00BB798C">
                  <w:pPr>
                    <w:jc w:val="both"/>
                    <w:rPr>
                      <w:highlight w:val="lightGray"/>
                    </w:rPr>
                  </w:pPr>
                  <w:r w:rsidRPr="00E97C56">
                    <w:rPr>
                      <w:highlight w:val="lightGray"/>
                      <w:u w:val="single"/>
                    </w:rPr>
                    <w:t xml:space="preserve">(b)  </w:t>
                  </w:r>
                  <w:r w:rsidRPr="00E97C56">
                    <w:rPr>
                      <w:highlight w:val="lightGray"/>
                      <w:u w:val="single"/>
                    </w:rPr>
                    <w:t>Subsection (a) does not require the exclusion of evidence offered for a purpose other than a purpose described by that subsection, including:</w:t>
                  </w:r>
                </w:p>
                <w:p w:rsidR="00813514" w:rsidRPr="00E97C56" w:rsidRDefault="002B7F3C" w:rsidP="00BB798C">
                  <w:pPr>
                    <w:jc w:val="both"/>
                    <w:rPr>
                      <w:highlight w:val="lightGray"/>
                    </w:rPr>
                  </w:pPr>
                  <w:r w:rsidRPr="00E97C56">
                    <w:rPr>
                      <w:highlight w:val="lightGray"/>
                      <w:u w:val="single"/>
                    </w:rPr>
                    <w:t>(1)  to prove the bias, prejudice, or interest of a witness or party;</w:t>
                  </w:r>
                </w:p>
                <w:p w:rsidR="00813514" w:rsidRPr="00E97C56" w:rsidRDefault="002B7F3C" w:rsidP="00BB798C">
                  <w:pPr>
                    <w:jc w:val="both"/>
                    <w:rPr>
                      <w:highlight w:val="lightGray"/>
                    </w:rPr>
                  </w:pPr>
                  <w:r w:rsidRPr="00E97C56">
                    <w:rPr>
                      <w:highlight w:val="lightGray"/>
                      <w:u w:val="single"/>
                    </w:rPr>
                    <w:t>(2)  to dispute a contention of undue delay;</w:t>
                  </w:r>
                  <w:r w:rsidRPr="00E97C56">
                    <w:rPr>
                      <w:highlight w:val="lightGray"/>
                      <w:u w:val="single"/>
                    </w:rPr>
                    <w:t xml:space="preserve"> or</w:t>
                  </w:r>
                </w:p>
                <w:p w:rsidR="00813514" w:rsidRPr="00E97C56" w:rsidRDefault="002B7F3C" w:rsidP="00BB798C">
                  <w:pPr>
                    <w:jc w:val="both"/>
                    <w:rPr>
                      <w:highlight w:val="lightGray"/>
                    </w:rPr>
                  </w:pPr>
                  <w:r w:rsidRPr="00E97C56">
                    <w:rPr>
                      <w:highlight w:val="lightGray"/>
                      <w:u w:val="single"/>
                    </w:rPr>
                    <w:t>(3)  to prove an attempt to obstruct a criminal investigation or prosecution.</w:t>
                  </w:r>
                </w:p>
                <w:p w:rsidR="00813514" w:rsidRDefault="002B7F3C" w:rsidP="00BB798C">
                  <w:pPr>
                    <w:jc w:val="both"/>
                    <w:rPr>
                      <w:u w:val="single"/>
                    </w:rPr>
                  </w:pPr>
                  <w:r w:rsidRPr="00E97C56">
                    <w:rPr>
                      <w:highlight w:val="lightGray"/>
                      <w:u w:val="single"/>
                    </w:rPr>
                    <w:t xml:space="preserve">(c)  Evidence of conduct occurring or statements made in the course of settlement negotiations with a governmental unit are not admissible.  This subsection does not require </w:t>
                  </w:r>
                  <w:r w:rsidRPr="00E97C56">
                    <w:rPr>
                      <w:highlight w:val="lightGray"/>
                      <w:u w:val="single"/>
                    </w:rPr>
                    <w:t>the exclusion of evidence that is otherwise discoverable merely because the evidence was presented in the course of settlement negotiations with a governmental unit.</w:t>
                  </w:r>
                </w:p>
                <w:p w:rsidR="00CF1930" w:rsidRDefault="002B7F3C" w:rsidP="00BB798C">
                  <w:pPr>
                    <w:jc w:val="both"/>
                  </w:pPr>
                </w:p>
                <w:p w:rsidR="00813514" w:rsidRDefault="002B7F3C" w:rsidP="00BB798C">
                  <w:pPr>
                    <w:jc w:val="both"/>
                  </w:pPr>
                  <w:r>
                    <w:rPr>
                      <w:u w:val="single"/>
                    </w:rPr>
                    <w:t xml:space="preserve">Sec. 116.004.  EFFECT OF CHAPTER.  </w:t>
                  </w:r>
                </w:p>
                <w:p w:rsidR="00813514" w:rsidRDefault="002B7F3C" w:rsidP="00BB798C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13514" w:rsidRDefault="002B7F3C" w:rsidP="00BB798C">
                  <w:pPr>
                    <w:jc w:val="both"/>
                  </w:pPr>
                  <w:r>
                    <w:lastRenderedPageBreak/>
                    <w:t xml:space="preserve">SECTION 1.  Title 5, Civil Practice and </w:t>
                  </w:r>
                  <w:r>
                    <w:lastRenderedPageBreak/>
                    <w:t>Remedies Cod</w:t>
                  </w:r>
                  <w:r>
                    <w:t>e, is amended by adding Chapter 116 to read as follows:</w:t>
                  </w:r>
                </w:p>
                <w:p w:rsidR="00813514" w:rsidRDefault="002B7F3C" w:rsidP="00BB798C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CHAPTER 116. SETTLEMENT OF CLAIM OR ACTION AGAINST GOVERNMENTAL UNIT</w:t>
                  </w:r>
                </w:p>
                <w:p w:rsidR="00CF1930" w:rsidRDefault="002B7F3C" w:rsidP="00BB798C">
                  <w:pPr>
                    <w:jc w:val="both"/>
                  </w:pPr>
                </w:p>
                <w:p w:rsidR="00CF1930" w:rsidRDefault="002B7F3C" w:rsidP="00BB798C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116.001.  DEFINITION.</w:t>
                  </w:r>
                </w:p>
                <w:p w:rsidR="00813514" w:rsidRDefault="002B7F3C" w:rsidP="00BB798C">
                  <w:pPr>
                    <w:jc w:val="both"/>
                  </w:pPr>
                </w:p>
                <w:p w:rsidR="00813514" w:rsidRDefault="002B7F3C" w:rsidP="00BB798C">
                  <w:pPr>
                    <w:jc w:val="both"/>
                  </w:pPr>
                  <w:r>
                    <w:rPr>
                      <w:u w:val="single"/>
                    </w:rPr>
                    <w:t>Sec. 116.002.  CERTAIN SETTLEMENT TERMS PROHIBITED.</w:t>
                  </w: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CF1930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CF1930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E97C56" w:rsidRDefault="002B7F3C" w:rsidP="00BB798C">
                  <w:pPr>
                    <w:jc w:val="both"/>
                    <w:rPr>
                      <w:u w:val="single"/>
                    </w:rPr>
                  </w:pPr>
                </w:p>
                <w:p w:rsidR="00813514" w:rsidRDefault="002B7F3C" w:rsidP="00BB798C">
                  <w:pPr>
                    <w:jc w:val="both"/>
                  </w:pPr>
                  <w:r>
                    <w:rPr>
                      <w:u w:val="single"/>
                    </w:rPr>
                    <w:t xml:space="preserve">Sec. 116.003.  EFFECT OF CHAPTER.  </w:t>
                  </w:r>
                </w:p>
                <w:p w:rsidR="00813514" w:rsidRDefault="002B7F3C" w:rsidP="00BB798C">
                  <w:pPr>
                    <w:jc w:val="both"/>
                  </w:pPr>
                </w:p>
              </w:tc>
            </w:tr>
            <w:tr w:rsidR="009B4607" w:rsidTr="00813514">
              <w:tc>
                <w:tcPr>
                  <w:tcW w:w="4673" w:type="dxa"/>
                  <w:tcMar>
                    <w:right w:w="360" w:type="dxa"/>
                  </w:tcMar>
                </w:tcPr>
                <w:p w:rsidR="00813514" w:rsidRDefault="002B7F3C" w:rsidP="00BB798C">
                  <w:pPr>
                    <w:jc w:val="both"/>
                  </w:pPr>
                  <w:r>
                    <w:lastRenderedPageBreak/>
                    <w:t>SECTION 2.  The change in law made by this Act applies only with respect to a claim or action that is based on a cause of action that accrues on or after the effective date of this Act.</w:t>
                  </w:r>
                </w:p>
                <w:p w:rsidR="00813514" w:rsidRDefault="002B7F3C" w:rsidP="00BB798C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13514" w:rsidRDefault="002B7F3C" w:rsidP="00BB798C">
                  <w:pPr>
                    <w:jc w:val="both"/>
                  </w:pPr>
                  <w:r>
                    <w:t xml:space="preserve">SECTION 2. Same as introduced </w:t>
                  </w:r>
                  <w:r>
                    <w:t>version.</w:t>
                  </w:r>
                </w:p>
                <w:p w:rsidR="00813514" w:rsidRDefault="002B7F3C" w:rsidP="00BB798C">
                  <w:pPr>
                    <w:jc w:val="both"/>
                  </w:pPr>
                </w:p>
                <w:p w:rsidR="00813514" w:rsidRDefault="002B7F3C" w:rsidP="00BB798C">
                  <w:pPr>
                    <w:jc w:val="both"/>
                  </w:pPr>
                </w:p>
              </w:tc>
            </w:tr>
            <w:tr w:rsidR="009B4607" w:rsidTr="00813514">
              <w:tc>
                <w:tcPr>
                  <w:tcW w:w="4673" w:type="dxa"/>
                  <w:tcMar>
                    <w:right w:w="360" w:type="dxa"/>
                  </w:tcMar>
                </w:tcPr>
                <w:p w:rsidR="00813514" w:rsidRDefault="002B7F3C" w:rsidP="00BB798C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813514" w:rsidRDefault="002B7F3C" w:rsidP="00BB798C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13514" w:rsidRDefault="002B7F3C" w:rsidP="00BB798C">
                  <w:pPr>
                    <w:jc w:val="both"/>
                  </w:pPr>
                  <w:r>
                    <w:t>SECTION 3. Same as introduced version.</w:t>
                  </w:r>
                </w:p>
                <w:p w:rsidR="00813514" w:rsidRDefault="002B7F3C" w:rsidP="00BB798C">
                  <w:pPr>
                    <w:jc w:val="both"/>
                  </w:pPr>
                </w:p>
                <w:p w:rsidR="00813514" w:rsidRDefault="002B7F3C" w:rsidP="00BB798C">
                  <w:pPr>
                    <w:jc w:val="both"/>
                  </w:pPr>
                </w:p>
              </w:tc>
            </w:tr>
          </w:tbl>
          <w:p w:rsidR="00813514" w:rsidRPr="009C1E9A" w:rsidRDefault="002B7F3C" w:rsidP="00BB798C">
            <w:pPr>
              <w:rPr>
                <w:b/>
                <w:u w:val="single"/>
              </w:rPr>
            </w:pPr>
          </w:p>
        </w:tc>
      </w:tr>
    </w:tbl>
    <w:p w:rsidR="004108C3" w:rsidRPr="006B1F04" w:rsidRDefault="002B7F3C" w:rsidP="008423E4">
      <w:pPr>
        <w:rPr>
          <w:sz w:val="8"/>
          <w:szCs w:val="8"/>
        </w:rPr>
      </w:pPr>
    </w:p>
    <w:sectPr w:rsidR="004108C3" w:rsidRPr="006B1F0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7F3C">
      <w:r>
        <w:separator/>
      </w:r>
    </w:p>
  </w:endnote>
  <w:endnote w:type="continuationSeparator" w:id="0">
    <w:p w:rsidR="00000000" w:rsidRDefault="002B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4607" w:rsidTr="009C1E9A">
      <w:trPr>
        <w:cantSplit/>
      </w:trPr>
      <w:tc>
        <w:tcPr>
          <w:tcW w:w="0" w:type="pct"/>
        </w:tcPr>
        <w:p w:rsidR="00137D90" w:rsidRDefault="002B7F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B7F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B7F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B7F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4607" w:rsidTr="009C1E9A">
      <w:trPr>
        <w:cantSplit/>
      </w:trPr>
      <w:tc>
        <w:tcPr>
          <w:tcW w:w="0" w:type="pct"/>
        </w:tcPr>
        <w:p w:rsidR="00EC379B" w:rsidRDefault="002B7F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B7F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18833</w:t>
          </w:r>
        </w:p>
      </w:tc>
      <w:tc>
        <w:tcPr>
          <w:tcW w:w="2453" w:type="pct"/>
        </w:tcPr>
        <w:p w:rsidR="00EC379B" w:rsidRDefault="002B7F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17.81.183</w:t>
          </w:r>
          <w:r>
            <w:fldChar w:fldCharType="end"/>
          </w:r>
        </w:p>
      </w:tc>
    </w:tr>
    <w:tr w:rsidR="009B4607" w:rsidTr="009C1E9A">
      <w:trPr>
        <w:cantSplit/>
      </w:trPr>
      <w:tc>
        <w:tcPr>
          <w:tcW w:w="0" w:type="pct"/>
        </w:tcPr>
        <w:p w:rsidR="00EC379B" w:rsidRDefault="002B7F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B7F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8205</w:t>
          </w:r>
        </w:p>
      </w:tc>
      <w:tc>
        <w:tcPr>
          <w:tcW w:w="2453" w:type="pct"/>
        </w:tcPr>
        <w:p w:rsidR="00EC379B" w:rsidRDefault="002B7F3C" w:rsidP="006D504F">
          <w:pPr>
            <w:pStyle w:val="Footer"/>
            <w:rPr>
              <w:rStyle w:val="PageNumber"/>
            </w:rPr>
          </w:pPr>
        </w:p>
        <w:p w:rsidR="00EC379B" w:rsidRDefault="002B7F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460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B7F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B7F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B7F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7F3C">
      <w:r>
        <w:separator/>
      </w:r>
    </w:p>
  </w:footnote>
  <w:footnote w:type="continuationSeparator" w:id="0">
    <w:p w:rsidR="00000000" w:rsidRDefault="002B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07"/>
    <w:rsid w:val="002B7F3C"/>
    <w:rsid w:val="009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66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66F4"/>
  </w:style>
  <w:style w:type="paragraph" w:styleId="CommentSubject">
    <w:name w:val="annotation subject"/>
    <w:basedOn w:val="CommentText"/>
    <w:next w:val="CommentText"/>
    <w:link w:val="CommentSubjectChar"/>
    <w:rsid w:val="00BD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66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66F4"/>
  </w:style>
  <w:style w:type="paragraph" w:styleId="CommentSubject">
    <w:name w:val="annotation subject"/>
    <w:basedOn w:val="CommentText"/>
    <w:next w:val="CommentText"/>
    <w:link w:val="CommentSubjectChar"/>
    <w:rsid w:val="00BD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3635</Characters>
  <Application>Microsoft Office Word</Application>
  <DocSecurity>4</DocSecurity>
  <Lines>163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HB00053 (Committee Report (Substituted))</vt:lpstr>
    </vt:vector>
  </TitlesOfParts>
  <Company>State of Texas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18833</dc:subject>
  <dc:creator>State of Texas</dc:creator>
  <dc:description>HB 53 by Romero, Jr.-(H)Judiciary &amp; Civil Jurisprudence (Substitute Document Number: 85R 8205)</dc:description>
  <cp:lastModifiedBy>Damian Duarte</cp:lastModifiedBy>
  <cp:revision>2</cp:revision>
  <cp:lastPrinted>2017-03-22T15:37:00Z</cp:lastPrinted>
  <dcterms:created xsi:type="dcterms:W3CDTF">2017-03-23T22:27:00Z</dcterms:created>
  <dcterms:modified xsi:type="dcterms:W3CDTF">2017-03-23T22:27:00Z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17.81.183</vt:lpwstr>
  </property>
</Properties>
</file>