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B04126" w:rsidTr="00345119">
        <w:tc>
          <w:tcPr>
            <w:tcW w:w="9576" w:type="dxa"/>
            <w:noWrap/>
          </w:tcPr>
          <w:p w:rsidR="008423E4" w:rsidRPr="0022177D" w:rsidRDefault="00B13535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B13535" w:rsidP="008423E4">
      <w:pPr>
        <w:jc w:val="center"/>
      </w:pPr>
    </w:p>
    <w:p w:rsidR="008423E4" w:rsidRPr="00B31F0E" w:rsidRDefault="00B13535" w:rsidP="008423E4"/>
    <w:p w:rsidR="008423E4" w:rsidRPr="00742794" w:rsidRDefault="00B13535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B04126" w:rsidTr="00345119">
        <w:tc>
          <w:tcPr>
            <w:tcW w:w="9576" w:type="dxa"/>
          </w:tcPr>
          <w:p w:rsidR="008423E4" w:rsidRPr="00861995" w:rsidRDefault="00B13535" w:rsidP="00345119">
            <w:pPr>
              <w:jc w:val="right"/>
            </w:pPr>
            <w:r>
              <w:t>C.S.H.B. 66</w:t>
            </w:r>
          </w:p>
        </w:tc>
      </w:tr>
      <w:tr w:rsidR="00B04126" w:rsidTr="00345119">
        <w:tc>
          <w:tcPr>
            <w:tcW w:w="9576" w:type="dxa"/>
          </w:tcPr>
          <w:p w:rsidR="008423E4" w:rsidRPr="00861995" w:rsidRDefault="00B13535" w:rsidP="00D227B4">
            <w:pPr>
              <w:jc w:val="right"/>
            </w:pPr>
            <w:r>
              <w:t xml:space="preserve">By: </w:t>
            </w:r>
            <w:r>
              <w:t>Guillen</w:t>
            </w:r>
          </w:p>
        </w:tc>
      </w:tr>
      <w:tr w:rsidR="00B04126" w:rsidTr="00345119">
        <w:tc>
          <w:tcPr>
            <w:tcW w:w="9576" w:type="dxa"/>
          </w:tcPr>
          <w:p w:rsidR="008423E4" w:rsidRPr="00861995" w:rsidRDefault="00B13535" w:rsidP="00345119">
            <w:pPr>
              <w:jc w:val="right"/>
            </w:pPr>
            <w:r>
              <w:t>Defense &amp; Veterans' Affairs</w:t>
            </w:r>
          </w:p>
        </w:tc>
      </w:tr>
      <w:tr w:rsidR="00B04126" w:rsidTr="00345119">
        <w:tc>
          <w:tcPr>
            <w:tcW w:w="9576" w:type="dxa"/>
          </w:tcPr>
          <w:p w:rsidR="008423E4" w:rsidRDefault="00B13535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B13535" w:rsidP="008423E4">
      <w:pPr>
        <w:tabs>
          <w:tab w:val="right" w:pos="9360"/>
        </w:tabs>
      </w:pPr>
    </w:p>
    <w:p w:rsidR="008423E4" w:rsidRDefault="00B13535" w:rsidP="008423E4"/>
    <w:p w:rsidR="008423E4" w:rsidRDefault="00B13535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B04126" w:rsidTr="00D227B4">
        <w:tc>
          <w:tcPr>
            <w:tcW w:w="9582" w:type="dxa"/>
          </w:tcPr>
          <w:p w:rsidR="008423E4" w:rsidRPr="00A8133F" w:rsidRDefault="00B13535" w:rsidP="00FE6108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B13535" w:rsidP="00FE6108"/>
          <w:p w:rsidR="008423E4" w:rsidRDefault="00B13535" w:rsidP="00FE6108">
            <w:pPr>
              <w:jc w:val="both"/>
            </w:pPr>
            <w:r>
              <w:t xml:space="preserve">Interested parties note that if a student </w:t>
            </w:r>
            <w:r>
              <w:t>appointed</w:t>
            </w:r>
            <w:r>
              <w:t xml:space="preserve"> to receive a</w:t>
            </w:r>
            <w:r>
              <w:t xml:space="preserve"> Texas Armed Services Scholarship </w:t>
            </w:r>
            <w:r>
              <w:t>loses eligibility</w:t>
            </w:r>
            <w:r>
              <w:t xml:space="preserve"> for the scholarship</w:t>
            </w:r>
            <w:r>
              <w:t>, the appointing offic</w:t>
            </w:r>
            <w:r>
              <w:t>ial</w:t>
            </w:r>
            <w:r>
              <w:t xml:space="preserve"> </w:t>
            </w:r>
            <w:r>
              <w:t>is unable to make another appointment</w:t>
            </w:r>
            <w:r>
              <w:t xml:space="preserve"> until the next year. </w:t>
            </w:r>
            <w:r w:rsidRPr="005D2D9A">
              <w:t>C.S.</w:t>
            </w:r>
            <w:r>
              <w:t>H</w:t>
            </w:r>
            <w:r>
              <w:t>.</w:t>
            </w:r>
            <w:r>
              <w:t>B</w:t>
            </w:r>
            <w:r>
              <w:t>.</w:t>
            </w:r>
            <w:r>
              <w:t xml:space="preserve"> 66 </w:t>
            </w:r>
            <w:r>
              <w:t>seeks to address this issue by</w:t>
            </w:r>
            <w:r>
              <w:t xml:space="preserve"> allow</w:t>
            </w:r>
            <w:r>
              <w:t>ing</w:t>
            </w:r>
            <w:r>
              <w:t xml:space="preserve"> </w:t>
            </w:r>
            <w:r>
              <w:t xml:space="preserve">an appointing </w:t>
            </w:r>
            <w:r>
              <w:t>official</w:t>
            </w:r>
            <w:r>
              <w:t xml:space="preserve">, should the first student lose eligibility, </w:t>
            </w:r>
            <w:r>
              <w:t>to award the scholarship's remai</w:t>
            </w:r>
            <w:r>
              <w:t xml:space="preserve">ning funds to another </w:t>
            </w:r>
            <w:r>
              <w:t xml:space="preserve">eligible </w:t>
            </w:r>
            <w:r>
              <w:t>student</w:t>
            </w:r>
            <w:r>
              <w:t xml:space="preserve"> beginning with the next academic year</w:t>
            </w:r>
            <w:r>
              <w:t>.</w:t>
            </w:r>
            <w:r>
              <w:t xml:space="preserve"> </w:t>
            </w:r>
          </w:p>
          <w:p w:rsidR="008423E4" w:rsidRPr="00E26B13" w:rsidRDefault="00B13535" w:rsidP="00FE6108">
            <w:pPr>
              <w:rPr>
                <w:b/>
              </w:rPr>
            </w:pPr>
          </w:p>
        </w:tc>
      </w:tr>
      <w:tr w:rsidR="00B04126" w:rsidTr="00D227B4">
        <w:tc>
          <w:tcPr>
            <w:tcW w:w="9582" w:type="dxa"/>
          </w:tcPr>
          <w:p w:rsidR="0017725B" w:rsidRDefault="00B13535" w:rsidP="00FE61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B13535" w:rsidP="00FE6108">
            <w:pPr>
              <w:rPr>
                <w:b/>
                <w:u w:val="single"/>
              </w:rPr>
            </w:pPr>
          </w:p>
          <w:p w:rsidR="00FB6378" w:rsidRPr="00FB6378" w:rsidRDefault="00B13535" w:rsidP="00FE6108">
            <w:pPr>
              <w:jc w:val="both"/>
            </w:pPr>
            <w:r>
              <w:t>It is the committee's opinion that this bill does not expressly create a criminal offense, increase the punishment for an existing criminal offense or</w:t>
            </w:r>
            <w:r>
              <w:t xml:space="preserve"> category of offenses, or change the eligibility of a person for community supervision, parole, or mandatory supervision.</w:t>
            </w:r>
          </w:p>
          <w:p w:rsidR="0017725B" w:rsidRPr="0017725B" w:rsidRDefault="00B13535" w:rsidP="00FE6108">
            <w:pPr>
              <w:rPr>
                <w:b/>
                <w:u w:val="single"/>
              </w:rPr>
            </w:pPr>
          </w:p>
        </w:tc>
      </w:tr>
      <w:tr w:rsidR="00B04126" w:rsidTr="00D227B4">
        <w:tc>
          <w:tcPr>
            <w:tcW w:w="9582" w:type="dxa"/>
          </w:tcPr>
          <w:p w:rsidR="008423E4" w:rsidRPr="00A8133F" w:rsidRDefault="00B13535" w:rsidP="00FE6108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B13535" w:rsidP="00FE6108"/>
          <w:p w:rsidR="00FB6378" w:rsidRDefault="00B13535" w:rsidP="00FE6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</w:t>
            </w:r>
            <w:r>
              <w:t>a state officer, department, agency, or institution.</w:t>
            </w:r>
          </w:p>
          <w:p w:rsidR="008423E4" w:rsidRPr="00E21FDC" w:rsidRDefault="00B13535" w:rsidP="00FE6108">
            <w:pPr>
              <w:rPr>
                <w:b/>
              </w:rPr>
            </w:pPr>
          </w:p>
        </w:tc>
      </w:tr>
      <w:tr w:rsidR="00B04126" w:rsidTr="00D227B4">
        <w:tc>
          <w:tcPr>
            <w:tcW w:w="9582" w:type="dxa"/>
          </w:tcPr>
          <w:p w:rsidR="008423E4" w:rsidRPr="00A8133F" w:rsidRDefault="00B13535" w:rsidP="00FE6108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B13535" w:rsidP="00FE6108"/>
          <w:p w:rsidR="008423E4" w:rsidRDefault="00B13535" w:rsidP="00FE6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66 amends the Education Code to </w:t>
            </w:r>
            <w:r>
              <w:t>change the entity making the determination about whether a student receiving a scholarship under the Texas armed services scholarship program has maintained satisfactory academic progress to continue to receive the scholarship from the institution in which</w:t>
            </w:r>
            <w:r>
              <w:t xml:space="preserve"> the student is enrolled to the </w:t>
            </w:r>
            <w:r w:rsidRPr="00214B6F">
              <w:t>Texas Higher Education Coordinating Board</w:t>
            </w:r>
            <w:r>
              <w:t xml:space="preserve">. The bill </w:t>
            </w:r>
            <w:r>
              <w:t>authorize</w:t>
            </w:r>
            <w:r>
              <w:t>s</w:t>
            </w:r>
            <w:r>
              <w:t xml:space="preserve"> </w:t>
            </w:r>
            <w:r>
              <w:t>the</w:t>
            </w:r>
            <w:r w:rsidRPr="00FB6378">
              <w:t xml:space="preserve"> </w:t>
            </w:r>
            <w:r w:rsidRPr="00FB6378">
              <w:t xml:space="preserve">elected official who appointed </w:t>
            </w:r>
            <w:r>
              <w:t>a</w:t>
            </w:r>
            <w:r w:rsidRPr="00FB6378">
              <w:t xml:space="preserve"> student</w:t>
            </w:r>
            <w:r>
              <w:t xml:space="preserve"> to </w:t>
            </w:r>
            <w:r w:rsidRPr="009E6071">
              <w:t>receive a</w:t>
            </w:r>
            <w:r>
              <w:t>n initial</w:t>
            </w:r>
            <w:r w:rsidRPr="009E6071">
              <w:t xml:space="preserve"> scholarship</w:t>
            </w:r>
            <w:r>
              <w:t xml:space="preserve"> under </w:t>
            </w:r>
            <w:r>
              <w:t>th</w:t>
            </w:r>
            <w:r>
              <w:t>e</w:t>
            </w:r>
            <w:r>
              <w:t xml:space="preserve"> p</w:t>
            </w:r>
            <w:r>
              <w:t>rogram</w:t>
            </w:r>
            <w:r>
              <w:t xml:space="preserve"> </w:t>
            </w:r>
            <w:r>
              <w:t>who</w:t>
            </w:r>
            <w:r>
              <w:t xml:space="preserve"> the </w:t>
            </w:r>
            <w:r>
              <w:t xml:space="preserve">coordinating </w:t>
            </w:r>
            <w:r>
              <w:t xml:space="preserve">board </w:t>
            </w:r>
            <w:r>
              <w:t>determin</w:t>
            </w:r>
            <w:r>
              <w:t>es</w:t>
            </w:r>
            <w:r>
              <w:t xml:space="preserve"> </w:t>
            </w:r>
            <w:r>
              <w:t>has</w:t>
            </w:r>
            <w:r>
              <w:t xml:space="preserve"> </w:t>
            </w:r>
            <w:r>
              <w:t>fail</w:t>
            </w:r>
            <w:r>
              <w:t>ed</w:t>
            </w:r>
            <w:r>
              <w:t xml:space="preserve"> </w:t>
            </w:r>
            <w:r w:rsidRPr="00FB6378">
              <w:t>to maintain eli</w:t>
            </w:r>
            <w:r w:rsidRPr="00FB6378">
              <w:t>gibility or otherwise meet the requirements to continue receiving the scholarship</w:t>
            </w:r>
            <w:r>
              <w:t xml:space="preserve"> to</w:t>
            </w:r>
            <w:r w:rsidRPr="00FB6378">
              <w:t xml:space="preserve"> appoint</w:t>
            </w:r>
            <w:r>
              <w:t xml:space="preserve">, </w:t>
            </w:r>
            <w:r w:rsidRPr="005D2D9A">
              <w:t>beginning with the academic year following the determination</w:t>
            </w:r>
            <w:r>
              <w:t>,</w:t>
            </w:r>
            <w:r w:rsidRPr="00FB6378">
              <w:t xml:space="preserve"> another student eligible </w:t>
            </w:r>
            <w:r>
              <w:t>f</w:t>
            </w:r>
            <w:r>
              <w:t>or</w:t>
            </w:r>
            <w:r w:rsidRPr="00FB6378">
              <w:t xml:space="preserve"> </w:t>
            </w:r>
            <w:r>
              <w:t xml:space="preserve">scholarship funds under that program to receive </w:t>
            </w:r>
            <w:r w:rsidRPr="00FB6378">
              <w:t xml:space="preserve">any available funds designated for the student </w:t>
            </w:r>
            <w:r w:rsidRPr="005D2D9A">
              <w:t xml:space="preserve">who no longer meets the </w:t>
            </w:r>
            <w:r>
              <w:t xml:space="preserve">scholarship </w:t>
            </w:r>
            <w:r w:rsidRPr="005D2D9A">
              <w:t>requirements</w:t>
            </w:r>
            <w:r>
              <w:t xml:space="preserve">. </w:t>
            </w:r>
          </w:p>
          <w:p w:rsidR="008423E4" w:rsidRPr="00835628" w:rsidRDefault="00B13535" w:rsidP="00FE6108">
            <w:pPr>
              <w:rPr>
                <w:b/>
              </w:rPr>
            </w:pPr>
          </w:p>
        </w:tc>
      </w:tr>
      <w:tr w:rsidR="00B04126" w:rsidTr="00D227B4">
        <w:tc>
          <w:tcPr>
            <w:tcW w:w="9582" w:type="dxa"/>
          </w:tcPr>
          <w:p w:rsidR="008423E4" w:rsidRPr="00A8133F" w:rsidRDefault="00B13535" w:rsidP="00FE6108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B13535" w:rsidP="00FE6108"/>
          <w:p w:rsidR="008423E4" w:rsidRPr="003624F2" w:rsidRDefault="00B13535" w:rsidP="00FE6108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B13535" w:rsidP="00FE6108">
            <w:pPr>
              <w:rPr>
                <w:b/>
              </w:rPr>
            </w:pPr>
          </w:p>
        </w:tc>
      </w:tr>
      <w:tr w:rsidR="00B04126" w:rsidTr="00D227B4">
        <w:tc>
          <w:tcPr>
            <w:tcW w:w="9582" w:type="dxa"/>
          </w:tcPr>
          <w:p w:rsidR="00D227B4" w:rsidRDefault="00B13535" w:rsidP="00FE6108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E54C04" w:rsidRDefault="00B13535" w:rsidP="00FE6108">
            <w:pPr>
              <w:jc w:val="both"/>
            </w:pPr>
          </w:p>
          <w:p w:rsidR="00E54C04" w:rsidRDefault="00B13535" w:rsidP="00FE6108">
            <w:pPr>
              <w:jc w:val="both"/>
            </w:pPr>
            <w:r>
              <w:t xml:space="preserve">While C.S.H.B. </w:t>
            </w:r>
            <w:r>
              <w:t xml:space="preserve">66 </w:t>
            </w:r>
            <w:r>
              <w:t>may differ from the original in minor or nonsubstantive ways,</w:t>
            </w:r>
            <w:r>
              <w:t xml:space="preserve"> the following comparison is organized and formatted in a manner that indicates the substantial differences between the introduced and committee substitute versions of the bill.</w:t>
            </w:r>
          </w:p>
          <w:p w:rsidR="00420961" w:rsidRDefault="00B13535" w:rsidP="00FE6108">
            <w:pPr>
              <w:jc w:val="both"/>
            </w:pPr>
          </w:p>
          <w:p w:rsidR="00420961" w:rsidRDefault="00B13535" w:rsidP="00FE6108">
            <w:pPr>
              <w:jc w:val="both"/>
            </w:pPr>
          </w:p>
          <w:p w:rsidR="00E54C04" w:rsidRPr="00E54C04" w:rsidRDefault="00B13535" w:rsidP="00FE6108">
            <w:pPr>
              <w:jc w:val="both"/>
            </w:pPr>
          </w:p>
        </w:tc>
      </w:tr>
      <w:tr w:rsidR="00B04126" w:rsidTr="00D227B4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59"/>
              <w:gridCol w:w="4687"/>
            </w:tblGrid>
            <w:tr w:rsidR="00B04126" w:rsidTr="00D227B4">
              <w:trPr>
                <w:cantSplit/>
                <w:tblHeader/>
              </w:trPr>
              <w:tc>
                <w:tcPr>
                  <w:tcW w:w="4659" w:type="dxa"/>
                  <w:tcMar>
                    <w:bottom w:w="188" w:type="dxa"/>
                  </w:tcMar>
                </w:tcPr>
                <w:p w:rsidR="00D227B4" w:rsidRDefault="00B13535" w:rsidP="00FE6108">
                  <w:pPr>
                    <w:jc w:val="center"/>
                  </w:pPr>
                  <w:r>
                    <w:lastRenderedPageBreak/>
                    <w:t>INTRODUCED</w:t>
                  </w:r>
                </w:p>
              </w:tc>
              <w:tc>
                <w:tcPr>
                  <w:tcW w:w="4687" w:type="dxa"/>
                  <w:tcMar>
                    <w:bottom w:w="188" w:type="dxa"/>
                  </w:tcMar>
                </w:tcPr>
                <w:p w:rsidR="00D227B4" w:rsidRDefault="00B13535" w:rsidP="00FE6108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B04126" w:rsidTr="00D227B4">
              <w:tc>
                <w:tcPr>
                  <w:tcW w:w="4659" w:type="dxa"/>
                  <w:tcMar>
                    <w:right w:w="360" w:type="dxa"/>
                  </w:tcMar>
                </w:tcPr>
                <w:p w:rsidR="00E54C04" w:rsidRDefault="00B13535" w:rsidP="00FE6108">
                  <w:pPr>
                    <w:jc w:val="both"/>
                  </w:pPr>
                  <w:r>
                    <w:t xml:space="preserve">SECTION 1.  Section 61.9772(b), </w:t>
                  </w:r>
                  <w:r>
                    <w:t>Education Code, is amended to read as follows:</w:t>
                  </w:r>
                </w:p>
                <w:p w:rsidR="00AD1EDD" w:rsidRDefault="00B13535" w:rsidP="00FE6108">
                  <w:pPr>
                    <w:jc w:val="both"/>
                  </w:pPr>
                </w:p>
                <w:p w:rsidR="00AD1EDD" w:rsidRDefault="00B13535" w:rsidP="00FE6108">
                  <w:pPr>
                    <w:jc w:val="both"/>
                  </w:pPr>
                </w:p>
                <w:p w:rsidR="00AD1EDD" w:rsidRDefault="00B13535" w:rsidP="00FE6108">
                  <w:pPr>
                    <w:jc w:val="both"/>
                  </w:pPr>
                </w:p>
                <w:p w:rsidR="00AD1EDD" w:rsidRDefault="00B13535" w:rsidP="00FE6108">
                  <w:pPr>
                    <w:jc w:val="both"/>
                  </w:pPr>
                </w:p>
                <w:p w:rsidR="00AD1EDD" w:rsidRDefault="00B13535" w:rsidP="00FE6108">
                  <w:pPr>
                    <w:jc w:val="both"/>
                  </w:pPr>
                </w:p>
                <w:p w:rsidR="00AD1EDD" w:rsidRDefault="00B13535" w:rsidP="00FE6108">
                  <w:pPr>
                    <w:jc w:val="both"/>
                  </w:pPr>
                </w:p>
                <w:p w:rsidR="00E54C04" w:rsidRDefault="00B13535" w:rsidP="00FE6108">
                  <w:pPr>
                    <w:jc w:val="both"/>
                  </w:pPr>
                </w:p>
                <w:p w:rsidR="00BD38E1" w:rsidRDefault="00B13535" w:rsidP="00FE6108">
                  <w:pPr>
                    <w:jc w:val="both"/>
                    <w:rPr>
                      <w:highlight w:val="lightGray"/>
                    </w:rPr>
                  </w:pPr>
                  <w:r w:rsidRPr="00AD1EDD">
                    <w:t>(b)  In each year, the governor and the lieutenant governor may each appoint two students and each state senator and each state representative may appoint one student to receive an initial scholarship u</w:t>
                  </w:r>
                  <w:r w:rsidRPr="00AD1EDD">
                    <w:t xml:space="preserve">nder this subchapter. </w:t>
                  </w:r>
                </w:p>
                <w:p w:rsidR="005D2D9A" w:rsidRPr="00AD1EDD" w:rsidRDefault="00B13535" w:rsidP="00FE6108">
                  <w:pPr>
                    <w:jc w:val="both"/>
                    <w:rPr>
                      <w:highlight w:val="lightGray"/>
                      <w:u w:val="single"/>
                    </w:rPr>
                  </w:pPr>
                  <w:r w:rsidRPr="00AD1EDD">
                    <w:rPr>
                      <w:highlight w:val="lightGray"/>
                      <w:u w:val="single"/>
                    </w:rPr>
                    <w:t xml:space="preserve">If a student appointed under this subsection </w:t>
                  </w:r>
                </w:p>
                <w:p w:rsidR="00BD38E1" w:rsidRDefault="00B13535" w:rsidP="00FE6108">
                  <w:pPr>
                    <w:jc w:val="both"/>
                    <w:rPr>
                      <w:u w:val="single"/>
                    </w:rPr>
                  </w:pPr>
                  <w:r w:rsidRPr="00AD1EDD">
                    <w:rPr>
                      <w:highlight w:val="lightGray"/>
                      <w:u w:val="single"/>
                    </w:rPr>
                    <w:t>to receive a scholarship fails</w:t>
                  </w:r>
                  <w:r>
                    <w:rPr>
                      <w:u w:val="single"/>
                    </w:rPr>
                    <w:t xml:space="preserve"> to maintain eligibility or otherwise meet the requirements to continue receiving the scholarship, </w:t>
                  </w:r>
                </w:p>
                <w:p w:rsidR="00AD1EDD" w:rsidRDefault="00B13535" w:rsidP="00FE6108">
                  <w:pPr>
                    <w:jc w:val="both"/>
                    <w:rPr>
                      <w:u w:val="single"/>
                    </w:rPr>
                  </w:pPr>
                </w:p>
                <w:p w:rsidR="00BD38E1" w:rsidRDefault="00B13535" w:rsidP="00FE6108">
                  <w:pPr>
                    <w:jc w:val="both"/>
                    <w:rPr>
                      <w:u w:val="single"/>
                    </w:rPr>
                  </w:pPr>
                </w:p>
                <w:p w:rsidR="00D227B4" w:rsidRDefault="00B13535" w:rsidP="00FE6108">
                  <w:pPr>
                    <w:jc w:val="both"/>
                  </w:pPr>
                  <w:r>
                    <w:rPr>
                      <w:u w:val="single"/>
                    </w:rPr>
                    <w:t xml:space="preserve">the elected official who appointed the student may appoint another student eligible under this subchapter to receive any available funds designated for the student </w:t>
                  </w:r>
                  <w:r w:rsidRPr="00BD38E1">
                    <w:rPr>
                      <w:highlight w:val="lightGray"/>
                      <w:u w:val="single"/>
                    </w:rPr>
                    <w:t>originally appointed.</w:t>
                  </w:r>
                </w:p>
                <w:p w:rsidR="00D227B4" w:rsidRDefault="00B13535" w:rsidP="00FE6108">
                  <w:pPr>
                    <w:jc w:val="both"/>
                  </w:pPr>
                </w:p>
              </w:tc>
              <w:tc>
                <w:tcPr>
                  <w:tcW w:w="4687" w:type="dxa"/>
                  <w:tcMar>
                    <w:left w:w="360" w:type="dxa"/>
                  </w:tcMar>
                </w:tcPr>
                <w:p w:rsidR="00E54C04" w:rsidRDefault="00B13535" w:rsidP="00FE6108">
                  <w:pPr>
                    <w:jc w:val="both"/>
                  </w:pPr>
                  <w:r>
                    <w:t xml:space="preserve">SECTION 1.  Section 61.9772, Education Code, is amended by amending </w:t>
                  </w:r>
                  <w:r>
                    <w:t>Subsection (c) and adding Subsection (d) to read as follows:</w:t>
                  </w:r>
                </w:p>
                <w:p w:rsidR="00E54C04" w:rsidRDefault="00B13535" w:rsidP="00FE6108">
                  <w:pPr>
                    <w:jc w:val="both"/>
                    <w:rPr>
                      <w:highlight w:val="lightGray"/>
                    </w:rPr>
                  </w:pPr>
                  <w:r w:rsidRPr="00BD38E1">
                    <w:rPr>
                      <w:highlight w:val="lightGray"/>
                    </w:rPr>
                    <w:t xml:space="preserve">(c)  For a student to continue to receive a scholarship awarded under this subchapter, the student must maintain satisfactory academic progress as determined by the </w:t>
                  </w:r>
                  <w:r w:rsidRPr="00BD38E1">
                    <w:rPr>
                      <w:highlight w:val="lightGray"/>
                      <w:u w:val="single"/>
                    </w:rPr>
                    <w:t>board</w:t>
                  </w:r>
                  <w:r w:rsidRPr="00BD38E1">
                    <w:rPr>
                      <w:highlight w:val="lightGray"/>
                    </w:rPr>
                    <w:t xml:space="preserve"> [</w:t>
                  </w:r>
                  <w:r w:rsidRPr="00BD38E1">
                    <w:rPr>
                      <w:strike/>
                      <w:highlight w:val="lightGray"/>
                    </w:rPr>
                    <w:t>institution in which th</w:t>
                  </w:r>
                  <w:r w:rsidRPr="00BD38E1">
                    <w:rPr>
                      <w:strike/>
                      <w:highlight w:val="lightGray"/>
                    </w:rPr>
                    <w:t>e student is enrolled</w:t>
                  </w:r>
                  <w:r w:rsidRPr="00BD38E1">
                    <w:rPr>
                      <w:highlight w:val="lightGray"/>
                    </w:rPr>
                    <w:t>].</w:t>
                  </w:r>
                </w:p>
                <w:p w:rsidR="00AD1EDD" w:rsidRDefault="00B13535" w:rsidP="00FE6108">
                  <w:pPr>
                    <w:jc w:val="both"/>
                    <w:rPr>
                      <w:highlight w:val="lightGray"/>
                    </w:rPr>
                  </w:pPr>
                </w:p>
                <w:p w:rsidR="00AD1EDD" w:rsidRDefault="00B13535" w:rsidP="00FE6108">
                  <w:pPr>
                    <w:jc w:val="both"/>
                    <w:rPr>
                      <w:highlight w:val="lightGray"/>
                    </w:rPr>
                  </w:pPr>
                </w:p>
                <w:p w:rsidR="00AD1EDD" w:rsidRDefault="00B13535" w:rsidP="00FE6108">
                  <w:pPr>
                    <w:jc w:val="both"/>
                    <w:rPr>
                      <w:highlight w:val="lightGray"/>
                    </w:rPr>
                  </w:pPr>
                </w:p>
                <w:p w:rsidR="00AD1EDD" w:rsidRDefault="00B13535" w:rsidP="00FE6108">
                  <w:pPr>
                    <w:jc w:val="both"/>
                    <w:rPr>
                      <w:highlight w:val="lightGray"/>
                    </w:rPr>
                  </w:pPr>
                </w:p>
                <w:p w:rsidR="00AD1EDD" w:rsidRDefault="00B13535" w:rsidP="00FE6108">
                  <w:pPr>
                    <w:jc w:val="both"/>
                    <w:rPr>
                      <w:highlight w:val="lightGray"/>
                    </w:rPr>
                  </w:pPr>
                </w:p>
                <w:p w:rsidR="00AD1EDD" w:rsidRPr="00BD38E1" w:rsidRDefault="00B13535" w:rsidP="00FE6108">
                  <w:pPr>
                    <w:jc w:val="both"/>
                    <w:rPr>
                      <w:highlight w:val="lightGray"/>
                    </w:rPr>
                  </w:pPr>
                </w:p>
                <w:p w:rsidR="00D227B4" w:rsidRDefault="00B13535" w:rsidP="00FE6108">
                  <w:pPr>
                    <w:jc w:val="both"/>
                  </w:pPr>
                  <w:r w:rsidRPr="00617285">
                    <w:rPr>
                      <w:highlight w:val="lightGray"/>
                      <w:u w:val="single"/>
                    </w:rPr>
                    <w:t>(d)  If</w:t>
                  </w:r>
                  <w:r w:rsidRPr="00AD1EDD">
                    <w:rPr>
                      <w:highlight w:val="lightGray"/>
                      <w:u w:val="single"/>
                    </w:rPr>
                    <w:t xml:space="preserve"> the board determines that a student appointed under Subsection (b) to receive an initial scholarship under this subchapter has failed</w:t>
                  </w:r>
                  <w:r>
                    <w:rPr>
                      <w:u w:val="single"/>
                    </w:rPr>
                    <w:t xml:space="preserve"> to maintain eligibility or otherwise meet the requirements to continue receiving the</w:t>
                  </w:r>
                  <w:r>
                    <w:rPr>
                      <w:u w:val="single"/>
                    </w:rPr>
                    <w:t xml:space="preserve"> scholarship, </w:t>
                  </w:r>
                  <w:r w:rsidRPr="00BD38E1">
                    <w:rPr>
                      <w:highlight w:val="lightGray"/>
                      <w:u w:val="single"/>
                    </w:rPr>
                    <w:t>beginning with the academic year following the determination,</w:t>
                  </w:r>
                  <w:r>
                    <w:rPr>
                      <w:u w:val="single"/>
                    </w:rPr>
                    <w:t xml:space="preserve"> the elected official who appointed the student may appoint another eligible student under this subchapter to receive any available funds designated for the student </w:t>
                  </w:r>
                  <w:r w:rsidRPr="00BD38E1">
                    <w:rPr>
                      <w:highlight w:val="lightGray"/>
                      <w:u w:val="single"/>
                    </w:rPr>
                    <w:t>who no longer me</w:t>
                  </w:r>
                  <w:r w:rsidRPr="00BD38E1">
                    <w:rPr>
                      <w:highlight w:val="lightGray"/>
                      <w:u w:val="single"/>
                    </w:rPr>
                    <w:t>ets the requirements for the scholarship.</w:t>
                  </w:r>
                </w:p>
              </w:tc>
            </w:tr>
            <w:tr w:rsidR="00B04126" w:rsidTr="00D227B4">
              <w:tc>
                <w:tcPr>
                  <w:tcW w:w="4659" w:type="dxa"/>
                  <w:tcMar>
                    <w:right w:w="360" w:type="dxa"/>
                  </w:tcMar>
                </w:tcPr>
                <w:p w:rsidR="00D227B4" w:rsidRDefault="00B13535" w:rsidP="00FE6108">
                  <w:pPr>
                    <w:jc w:val="both"/>
                  </w:pPr>
                  <w:r>
                    <w:t>SECTION 2.  This Act takes effect September 1, 2017.</w:t>
                  </w:r>
                </w:p>
                <w:p w:rsidR="00D227B4" w:rsidRDefault="00B13535" w:rsidP="00FE6108">
                  <w:pPr>
                    <w:jc w:val="both"/>
                  </w:pPr>
                </w:p>
              </w:tc>
              <w:tc>
                <w:tcPr>
                  <w:tcW w:w="4687" w:type="dxa"/>
                  <w:tcMar>
                    <w:left w:w="360" w:type="dxa"/>
                  </w:tcMar>
                </w:tcPr>
                <w:p w:rsidR="00D227B4" w:rsidRDefault="00B13535" w:rsidP="00FE6108">
                  <w:pPr>
                    <w:jc w:val="both"/>
                  </w:pPr>
                  <w:r>
                    <w:t>SECTION 2. Same as introduced version.</w:t>
                  </w:r>
                </w:p>
                <w:p w:rsidR="00D227B4" w:rsidRDefault="00B13535" w:rsidP="00FE6108">
                  <w:pPr>
                    <w:jc w:val="both"/>
                  </w:pPr>
                </w:p>
                <w:p w:rsidR="00D227B4" w:rsidRDefault="00B13535" w:rsidP="00FE6108">
                  <w:pPr>
                    <w:jc w:val="both"/>
                  </w:pPr>
                </w:p>
              </w:tc>
            </w:tr>
          </w:tbl>
          <w:p w:rsidR="00D227B4" w:rsidRDefault="00B13535" w:rsidP="00FE6108"/>
          <w:p w:rsidR="00D227B4" w:rsidRPr="009C1E9A" w:rsidRDefault="00B13535" w:rsidP="00FE6108">
            <w:pPr>
              <w:rPr>
                <w:b/>
                <w:u w:val="single"/>
              </w:rPr>
            </w:pPr>
          </w:p>
        </w:tc>
      </w:tr>
    </w:tbl>
    <w:p w:rsidR="008423E4" w:rsidRPr="00BE0E75" w:rsidRDefault="00B13535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B13535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13535">
      <w:r>
        <w:separator/>
      </w:r>
    </w:p>
  </w:endnote>
  <w:endnote w:type="continuationSeparator" w:id="0">
    <w:p w:rsidR="00000000" w:rsidRDefault="00B1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B04126" w:rsidTr="009C1E9A">
      <w:trPr>
        <w:cantSplit/>
      </w:trPr>
      <w:tc>
        <w:tcPr>
          <w:tcW w:w="0" w:type="pct"/>
        </w:tcPr>
        <w:p w:rsidR="00137D90" w:rsidRDefault="00B135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B135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B13535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B135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B135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4126" w:rsidTr="009C1E9A">
      <w:trPr>
        <w:cantSplit/>
      </w:trPr>
      <w:tc>
        <w:tcPr>
          <w:tcW w:w="0" w:type="pct"/>
        </w:tcPr>
        <w:p w:rsidR="00EC379B" w:rsidRDefault="00B13535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B13535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20270</w:t>
          </w:r>
        </w:p>
      </w:tc>
      <w:tc>
        <w:tcPr>
          <w:tcW w:w="2453" w:type="pct"/>
        </w:tcPr>
        <w:p w:rsidR="00EC379B" w:rsidRDefault="00B135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17.90.32</w:t>
          </w:r>
          <w:r>
            <w:fldChar w:fldCharType="end"/>
          </w:r>
        </w:p>
      </w:tc>
    </w:tr>
    <w:tr w:rsidR="00B04126" w:rsidTr="009C1E9A">
      <w:trPr>
        <w:cantSplit/>
      </w:trPr>
      <w:tc>
        <w:tcPr>
          <w:tcW w:w="0" w:type="pct"/>
        </w:tcPr>
        <w:p w:rsidR="00EC379B" w:rsidRDefault="00B135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B13535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18868</w:t>
          </w:r>
        </w:p>
      </w:tc>
      <w:tc>
        <w:tcPr>
          <w:tcW w:w="2453" w:type="pct"/>
        </w:tcPr>
        <w:p w:rsidR="00EC379B" w:rsidRDefault="00B13535" w:rsidP="006D504F">
          <w:pPr>
            <w:pStyle w:val="Footer"/>
            <w:rPr>
              <w:rStyle w:val="PageNumber"/>
            </w:rPr>
          </w:pPr>
        </w:p>
        <w:p w:rsidR="00EC379B" w:rsidRDefault="00B13535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B0412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B13535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B13535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B13535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13535">
      <w:r>
        <w:separator/>
      </w:r>
    </w:p>
  </w:footnote>
  <w:footnote w:type="continuationSeparator" w:id="0">
    <w:p w:rsidR="00000000" w:rsidRDefault="00B135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126"/>
    <w:rsid w:val="00B04126"/>
    <w:rsid w:val="00B1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63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378"/>
  </w:style>
  <w:style w:type="paragraph" w:styleId="CommentSubject">
    <w:name w:val="annotation subject"/>
    <w:basedOn w:val="CommentText"/>
    <w:next w:val="CommentText"/>
    <w:link w:val="CommentSubjectChar"/>
    <w:rsid w:val="00FB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3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FB637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B63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B6378"/>
  </w:style>
  <w:style w:type="paragraph" w:styleId="CommentSubject">
    <w:name w:val="annotation subject"/>
    <w:basedOn w:val="CommentText"/>
    <w:next w:val="CommentText"/>
    <w:link w:val="CommentSubjectChar"/>
    <w:rsid w:val="00FB63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B63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575</Words>
  <Characters>3353</Characters>
  <Application>Microsoft Office Word</Application>
  <DocSecurity>4</DocSecurity>
  <Lines>124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HB00066 (Committee Report (Substituted))</vt:lpstr>
    </vt:vector>
  </TitlesOfParts>
  <Company>State of Texas</Company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20270</dc:subject>
  <dc:creator>State of Texas</dc:creator>
  <dc:description>HB 66 by Guillen-(H)Defense &amp; Veterans' Affairs (Substitute Document Number: 85R 18868)</dc:description>
  <cp:lastModifiedBy>Brianna Weis</cp:lastModifiedBy>
  <cp:revision>2</cp:revision>
  <cp:lastPrinted>2017-03-31T15:41:00Z</cp:lastPrinted>
  <dcterms:created xsi:type="dcterms:W3CDTF">2017-04-03T20:22:00Z</dcterms:created>
  <dcterms:modified xsi:type="dcterms:W3CDTF">2017-04-03T20:22:00Z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17.90.32</vt:lpwstr>
  </property>
</Properties>
</file>