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90AC2" w:rsidTr="00345119">
        <w:tc>
          <w:tcPr>
            <w:tcW w:w="9576" w:type="dxa"/>
            <w:noWrap/>
          </w:tcPr>
          <w:p w:rsidR="008423E4" w:rsidRPr="0022177D" w:rsidRDefault="00CD49A7" w:rsidP="00345119">
            <w:pPr>
              <w:pStyle w:val="Heading1"/>
            </w:pPr>
            <w:bookmarkStart w:id="0" w:name="_GoBack"/>
            <w:bookmarkEnd w:id="0"/>
            <w:r w:rsidRPr="00631897">
              <w:t>BILL ANALYSIS</w:t>
            </w:r>
          </w:p>
        </w:tc>
      </w:tr>
    </w:tbl>
    <w:p w:rsidR="008423E4" w:rsidRPr="0022177D" w:rsidRDefault="00CD49A7" w:rsidP="008423E4">
      <w:pPr>
        <w:jc w:val="center"/>
      </w:pPr>
    </w:p>
    <w:p w:rsidR="008423E4" w:rsidRPr="00B31F0E" w:rsidRDefault="00CD49A7" w:rsidP="008423E4"/>
    <w:p w:rsidR="008423E4" w:rsidRPr="00742794" w:rsidRDefault="00CD49A7" w:rsidP="008423E4">
      <w:pPr>
        <w:tabs>
          <w:tab w:val="right" w:pos="9360"/>
        </w:tabs>
      </w:pPr>
    </w:p>
    <w:tbl>
      <w:tblPr>
        <w:tblW w:w="0" w:type="auto"/>
        <w:tblLayout w:type="fixed"/>
        <w:tblLook w:val="01E0" w:firstRow="1" w:lastRow="1" w:firstColumn="1" w:lastColumn="1" w:noHBand="0" w:noVBand="0"/>
      </w:tblPr>
      <w:tblGrid>
        <w:gridCol w:w="9576"/>
      </w:tblGrid>
      <w:tr w:rsidR="00090AC2" w:rsidTr="00345119">
        <w:tc>
          <w:tcPr>
            <w:tcW w:w="9576" w:type="dxa"/>
          </w:tcPr>
          <w:p w:rsidR="008423E4" w:rsidRPr="00861995" w:rsidRDefault="00CD49A7" w:rsidP="00345119">
            <w:pPr>
              <w:jc w:val="right"/>
            </w:pPr>
            <w:r>
              <w:t>C.S.H.B. 129</w:t>
            </w:r>
          </w:p>
        </w:tc>
      </w:tr>
      <w:tr w:rsidR="00090AC2" w:rsidTr="00345119">
        <w:tc>
          <w:tcPr>
            <w:tcW w:w="9576" w:type="dxa"/>
          </w:tcPr>
          <w:p w:rsidR="008423E4" w:rsidRPr="00861995" w:rsidRDefault="00CD49A7" w:rsidP="006A6CE9">
            <w:pPr>
              <w:jc w:val="right"/>
            </w:pPr>
            <w:r>
              <w:t xml:space="preserve">By: </w:t>
            </w:r>
            <w:r>
              <w:t>Craddick</w:t>
            </w:r>
          </w:p>
        </w:tc>
      </w:tr>
      <w:tr w:rsidR="00090AC2" w:rsidTr="00345119">
        <w:tc>
          <w:tcPr>
            <w:tcW w:w="9576" w:type="dxa"/>
          </w:tcPr>
          <w:p w:rsidR="008423E4" w:rsidRPr="00861995" w:rsidRDefault="00CD49A7" w:rsidP="00345119">
            <w:pPr>
              <w:jc w:val="right"/>
            </w:pPr>
            <w:r>
              <w:t>Energy Resources</w:t>
            </w:r>
          </w:p>
        </w:tc>
      </w:tr>
      <w:tr w:rsidR="00090AC2" w:rsidTr="00345119">
        <w:tc>
          <w:tcPr>
            <w:tcW w:w="9576" w:type="dxa"/>
          </w:tcPr>
          <w:p w:rsidR="008423E4" w:rsidRDefault="00CD49A7" w:rsidP="00345119">
            <w:pPr>
              <w:jc w:val="right"/>
            </w:pPr>
            <w:r>
              <w:t>Committee Report (Substituted)</w:t>
            </w:r>
          </w:p>
        </w:tc>
      </w:tr>
    </w:tbl>
    <w:p w:rsidR="008423E4" w:rsidRDefault="00CD49A7" w:rsidP="008423E4">
      <w:pPr>
        <w:tabs>
          <w:tab w:val="right" w:pos="9360"/>
        </w:tabs>
      </w:pPr>
    </w:p>
    <w:p w:rsidR="008423E4" w:rsidRDefault="00CD49A7" w:rsidP="008423E4"/>
    <w:p w:rsidR="008423E4" w:rsidRDefault="00CD49A7" w:rsidP="008423E4"/>
    <w:tbl>
      <w:tblPr>
        <w:tblW w:w="0" w:type="auto"/>
        <w:tblCellMar>
          <w:left w:w="115" w:type="dxa"/>
          <w:right w:w="115" w:type="dxa"/>
        </w:tblCellMar>
        <w:tblLook w:val="01E0" w:firstRow="1" w:lastRow="1" w:firstColumn="1" w:lastColumn="1" w:noHBand="0" w:noVBand="0"/>
      </w:tblPr>
      <w:tblGrid>
        <w:gridCol w:w="9590"/>
      </w:tblGrid>
      <w:tr w:rsidR="00090AC2" w:rsidTr="006A6CE9">
        <w:tc>
          <w:tcPr>
            <w:tcW w:w="9582" w:type="dxa"/>
          </w:tcPr>
          <w:p w:rsidR="008423E4" w:rsidRPr="00A8133F" w:rsidRDefault="00CD49A7" w:rsidP="00D9098B">
            <w:pPr>
              <w:rPr>
                <w:b/>
              </w:rPr>
            </w:pPr>
            <w:r w:rsidRPr="009C1E9A">
              <w:rPr>
                <w:b/>
                <w:u w:val="single"/>
              </w:rPr>
              <w:t>BACKGROUND AND PURPOSE</w:t>
            </w:r>
            <w:r>
              <w:rPr>
                <w:b/>
              </w:rPr>
              <w:t xml:space="preserve"> </w:t>
            </w:r>
          </w:p>
          <w:p w:rsidR="008423E4" w:rsidRDefault="00CD49A7" w:rsidP="00D9098B"/>
          <w:p w:rsidR="008423E4" w:rsidRDefault="00CD49A7" w:rsidP="00D9098B">
            <w:pPr>
              <w:pStyle w:val="Header"/>
              <w:tabs>
                <w:tab w:val="clear" w:pos="4320"/>
                <w:tab w:val="clear" w:pos="8640"/>
              </w:tabs>
              <w:jc w:val="both"/>
            </w:pPr>
            <w:r>
              <w:t>Interested parties note that s</w:t>
            </w:r>
            <w:r>
              <w:t>everal payors</w:t>
            </w:r>
            <w:r>
              <w:t xml:space="preserve"> </w:t>
            </w:r>
            <w:r w:rsidRPr="00987A58">
              <w:t>of proceeds derived from the sale of oil or gas production</w:t>
            </w:r>
            <w:r>
              <w:t xml:space="preserve"> have opted to use an online service to provide </w:t>
            </w:r>
            <w:r w:rsidRPr="00987A58">
              <w:t xml:space="preserve">standard royalty reporting </w:t>
            </w:r>
            <w:r>
              <w:t xml:space="preserve">information </w:t>
            </w:r>
            <w:r>
              <w:t xml:space="preserve">to </w:t>
            </w:r>
            <w:r w:rsidRPr="00987A58">
              <w:t>royalty interest owner</w:t>
            </w:r>
            <w:r>
              <w:t xml:space="preserve">s. The parties </w:t>
            </w:r>
            <w:r>
              <w:t>report,</w:t>
            </w:r>
            <w:r>
              <w:t xml:space="preserve"> however</w:t>
            </w:r>
            <w:r>
              <w:t>,</w:t>
            </w:r>
            <w:r>
              <w:t xml:space="preserve"> that some owners </w:t>
            </w:r>
            <w:r>
              <w:t xml:space="preserve">have security concerns and </w:t>
            </w:r>
            <w:r>
              <w:t xml:space="preserve">do not wish to </w:t>
            </w:r>
            <w:r>
              <w:t xml:space="preserve">access </w:t>
            </w:r>
            <w:r>
              <w:t>the</w:t>
            </w:r>
            <w:r>
              <w:t xml:space="preserve"> information online. </w:t>
            </w:r>
            <w:r w:rsidRPr="00167BCC">
              <w:t>C.S.</w:t>
            </w:r>
            <w:r>
              <w:t>H</w:t>
            </w:r>
            <w:r>
              <w:t>.</w:t>
            </w:r>
            <w:r>
              <w:t>B</w:t>
            </w:r>
            <w:r>
              <w:t>.</w:t>
            </w:r>
            <w:r>
              <w:t xml:space="preserve"> 129 </w:t>
            </w:r>
            <w:r>
              <w:t xml:space="preserve">seeks to </w:t>
            </w:r>
            <w:r>
              <w:t>address this issue by requiring certain consent regarding the provision of such information.</w:t>
            </w:r>
          </w:p>
          <w:p w:rsidR="008423E4" w:rsidRPr="00E26B13" w:rsidRDefault="00CD49A7" w:rsidP="00D9098B">
            <w:pPr>
              <w:rPr>
                <w:b/>
              </w:rPr>
            </w:pPr>
          </w:p>
        </w:tc>
      </w:tr>
      <w:tr w:rsidR="00090AC2" w:rsidTr="006A6CE9">
        <w:tc>
          <w:tcPr>
            <w:tcW w:w="9582" w:type="dxa"/>
          </w:tcPr>
          <w:p w:rsidR="0017725B" w:rsidRDefault="00CD49A7" w:rsidP="00D9098B">
            <w:pPr>
              <w:rPr>
                <w:b/>
                <w:u w:val="single"/>
              </w:rPr>
            </w:pPr>
            <w:r>
              <w:rPr>
                <w:b/>
                <w:u w:val="single"/>
              </w:rPr>
              <w:t>CRIMINAL JUSTICE IMPACT</w:t>
            </w:r>
          </w:p>
          <w:p w:rsidR="0017725B" w:rsidRDefault="00CD49A7" w:rsidP="00D9098B">
            <w:pPr>
              <w:rPr>
                <w:b/>
                <w:u w:val="single"/>
              </w:rPr>
            </w:pPr>
          </w:p>
          <w:p w:rsidR="00E57A21" w:rsidRPr="00E57A21" w:rsidRDefault="00CD49A7" w:rsidP="00D9098B">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CD49A7" w:rsidP="00D9098B">
            <w:pPr>
              <w:rPr>
                <w:b/>
                <w:u w:val="single"/>
              </w:rPr>
            </w:pPr>
          </w:p>
        </w:tc>
      </w:tr>
      <w:tr w:rsidR="00090AC2" w:rsidTr="006A6CE9">
        <w:tc>
          <w:tcPr>
            <w:tcW w:w="9582" w:type="dxa"/>
          </w:tcPr>
          <w:p w:rsidR="008423E4" w:rsidRPr="00A8133F" w:rsidRDefault="00CD49A7" w:rsidP="00D9098B">
            <w:pPr>
              <w:rPr>
                <w:b/>
              </w:rPr>
            </w:pPr>
            <w:r w:rsidRPr="009C1E9A">
              <w:rPr>
                <w:b/>
                <w:u w:val="single"/>
              </w:rPr>
              <w:t>RULEMAKING AUTHORITY</w:t>
            </w:r>
            <w:r>
              <w:rPr>
                <w:b/>
              </w:rPr>
              <w:t xml:space="preserve"> </w:t>
            </w:r>
          </w:p>
          <w:p w:rsidR="008423E4" w:rsidRDefault="00CD49A7" w:rsidP="00D9098B"/>
          <w:p w:rsidR="00E57A21" w:rsidRDefault="00CD49A7" w:rsidP="00D9098B">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CD49A7" w:rsidP="00D9098B">
            <w:pPr>
              <w:rPr>
                <w:b/>
              </w:rPr>
            </w:pPr>
          </w:p>
        </w:tc>
      </w:tr>
      <w:tr w:rsidR="00090AC2" w:rsidTr="006A6CE9">
        <w:tc>
          <w:tcPr>
            <w:tcW w:w="9582" w:type="dxa"/>
          </w:tcPr>
          <w:p w:rsidR="008423E4" w:rsidRPr="00A8133F" w:rsidRDefault="00CD49A7" w:rsidP="00D9098B">
            <w:pPr>
              <w:rPr>
                <w:b/>
              </w:rPr>
            </w:pPr>
            <w:r w:rsidRPr="009C1E9A">
              <w:rPr>
                <w:b/>
                <w:u w:val="single"/>
              </w:rPr>
              <w:t>ANALYSIS</w:t>
            </w:r>
            <w:r>
              <w:rPr>
                <w:b/>
              </w:rPr>
              <w:t xml:space="preserve"> </w:t>
            </w:r>
          </w:p>
          <w:p w:rsidR="008423E4" w:rsidRDefault="00CD49A7" w:rsidP="00D9098B"/>
          <w:p w:rsidR="008423E4" w:rsidRDefault="00CD49A7" w:rsidP="00D9098B">
            <w:pPr>
              <w:pStyle w:val="Header"/>
              <w:jc w:val="both"/>
            </w:pPr>
            <w:r w:rsidRPr="001228CD">
              <w:t>C.S.</w:t>
            </w:r>
            <w:r>
              <w:t xml:space="preserve">H.B. 129 amends the Natural Resources Code to </w:t>
            </w:r>
            <w:r>
              <w:t>specify that the</w:t>
            </w:r>
            <w:r>
              <w:t xml:space="preserve"> </w:t>
            </w:r>
            <w:r>
              <w:t>option for</w:t>
            </w:r>
            <w:r>
              <w:t xml:space="preserve"> a payor to include standard royalty reporting information</w:t>
            </w:r>
            <w:r>
              <w:t xml:space="preserve"> for a</w:t>
            </w:r>
            <w:r w:rsidRPr="003E295D">
              <w:t xml:space="preserve"> payment made to a royalty interest owner from the proceeds derived from the sale of oil or gas production pursuant to a division order, lease, servitude, or other agreement</w:t>
            </w:r>
            <w:r>
              <w:t xml:space="preserve"> </w:t>
            </w:r>
            <w:r>
              <w:t xml:space="preserve">on a remittance advice other than </w:t>
            </w:r>
            <w:r>
              <w:t>the check stub or an att</w:t>
            </w:r>
            <w:r>
              <w:t>achment to the payment f</w:t>
            </w:r>
            <w:r>
              <w:t xml:space="preserve">orm </w:t>
            </w:r>
            <w:r>
              <w:t>applies to</w:t>
            </w:r>
            <w:r>
              <w:t xml:space="preserve"> a remittance advice that accompanies the payment</w:t>
            </w:r>
            <w:r>
              <w:t>.</w:t>
            </w:r>
            <w:r>
              <w:t xml:space="preserve"> The bill requires a payor</w:t>
            </w:r>
            <w:r>
              <w:t xml:space="preserve"> </w:t>
            </w:r>
            <w:r>
              <w:t>who makes</w:t>
            </w:r>
            <w:r>
              <w:t xml:space="preserve"> a payment to </w:t>
            </w:r>
            <w:r>
              <w:t>a</w:t>
            </w:r>
            <w:r>
              <w:t xml:space="preserve"> royalty interest owner by a paper </w:t>
            </w:r>
            <w:r w:rsidRPr="00E04E13">
              <w:t>check delivered by mail or by means of a private delivery service</w:t>
            </w:r>
            <w:r>
              <w:t xml:space="preserve"> </w:t>
            </w:r>
            <w:r>
              <w:t xml:space="preserve">to </w:t>
            </w:r>
            <w:r w:rsidRPr="00A65DEF">
              <w:t>obtain the</w:t>
            </w:r>
            <w:r>
              <w:t xml:space="preserve"> </w:t>
            </w:r>
            <w:r w:rsidRPr="00A65DEF">
              <w:t>royalty interest owner</w:t>
            </w:r>
            <w:r>
              <w:t>'s</w:t>
            </w:r>
            <w:r w:rsidRPr="00A65DEF">
              <w:t xml:space="preserve"> w</w:t>
            </w:r>
            <w:r w:rsidRPr="00A65DEF">
              <w:t xml:space="preserve">ritten consent to provide </w:t>
            </w:r>
            <w:r>
              <w:t>the</w:t>
            </w:r>
            <w:r>
              <w:t xml:space="preserve"> information</w:t>
            </w:r>
            <w:r w:rsidRPr="00A65DEF">
              <w:t xml:space="preserve"> in </w:t>
            </w:r>
            <w:r w:rsidRPr="00A65DEF">
              <w:t>a manner other than by including the information on the check stub, an attachment to the payment form, or another remittance advice that accompanies the payment</w:t>
            </w:r>
            <w:r>
              <w:t xml:space="preserve"> before the payor may provide the information</w:t>
            </w:r>
            <w:r>
              <w:t xml:space="preserve"> in some other manner</w:t>
            </w:r>
            <w:r w:rsidRPr="00A65DEF">
              <w:t>.</w:t>
            </w:r>
            <w:r>
              <w:t xml:space="preserve"> </w:t>
            </w:r>
          </w:p>
          <w:p w:rsidR="001B39FA" w:rsidRPr="00835628" w:rsidRDefault="00CD49A7" w:rsidP="00D9098B">
            <w:pPr>
              <w:pStyle w:val="Header"/>
              <w:jc w:val="both"/>
              <w:rPr>
                <w:b/>
              </w:rPr>
            </w:pPr>
          </w:p>
        </w:tc>
      </w:tr>
      <w:tr w:rsidR="00090AC2" w:rsidTr="006A6CE9">
        <w:tc>
          <w:tcPr>
            <w:tcW w:w="9582" w:type="dxa"/>
          </w:tcPr>
          <w:p w:rsidR="008423E4" w:rsidRPr="00A8133F" w:rsidRDefault="00CD49A7" w:rsidP="00D9098B">
            <w:pPr>
              <w:rPr>
                <w:b/>
              </w:rPr>
            </w:pPr>
            <w:r w:rsidRPr="009C1E9A">
              <w:rPr>
                <w:b/>
                <w:u w:val="single"/>
              </w:rPr>
              <w:t>EFFECTIVE DATE</w:t>
            </w:r>
            <w:r>
              <w:rPr>
                <w:b/>
              </w:rPr>
              <w:t xml:space="preserve"> </w:t>
            </w:r>
          </w:p>
          <w:p w:rsidR="008423E4" w:rsidRDefault="00CD49A7" w:rsidP="00D9098B"/>
          <w:p w:rsidR="008423E4" w:rsidRPr="003624F2" w:rsidRDefault="00CD49A7" w:rsidP="00D9098B">
            <w:pPr>
              <w:pStyle w:val="Header"/>
              <w:tabs>
                <w:tab w:val="clear" w:pos="4320"/>
                <w:tab w:val="clear" w:pos="8640"/>
              </w:tabs>
              <w:jc w:val="both"/>
            </w:pPr>
            <w:r>
              <w:t>September 1, 2017.</w:t>
            </w:r>
            <w:r>
              <w:t xml:space="preserve"> </w:t>
            </w:r>
          </w:p>
          <w:p w:rsidR="008423E4" w:rsidRPr="00233FDB" w:rsidRDefault="00CD49A7" w:rsidP="00D9098B">
            <w:pPr>
              <w:rPr>
                <w:b/>
              </w:rPr>
            </w:pPr>
          </w:p>
        </w:tc>
      </w:tr>
      <w:tr w:rsidR="00090AC2" w:rsidTr="006A6CE9">
        <w:tc>
          <w:tcPr>
            <w:tcW w:w="9582" w:type="dxa"/>
          </w:tcPr>
          <w:p w:rsidR="006A6CE9" w:rsidRDefault="00CD49A7" w:rsidP="00D9098B">
            <w:pPr>
              <w:jc w:val="both"/>
              <w:rPr>
                <w:b/>
                <w:u w:val="single"/>
              </w:rPr>
            </w:pPr>
            <w:r>
              <w:rPr>
                <w:b/>
                <w:u w:val="single"/>
              </w:rPr>
              <w:t>COMPARISON OF ORIGINAL AND SUBSTITUTE</w:t>
            </w:r>
          </w:p>
          <w:p w:rsidR="00ED3BDF" w:rsidRDefault="00CD49A7" w:rsidP="00D9098B">
            <w:pPr>
              <w:jc w:val="both"/>
            </w:pPr>
          </w:p>
          <w:p w:rsidR="00ED3BDF" w:rsidRDefault="00CD49A7" w:rsidP="00D9098B">
            <w:pPr>
              <w:jc w:val="both"/>
            </w:pPr>
            <w:r>
              <w:t xml:space="preserve">While C.S.H.B. </w:t>
            </w:r>
            <w:r w:rsidRPr="001228CD">
              <w:t>129</w:t>
            </w:r>
            <w:r>
              <w:t xml:space="preserve"> may differ from the original in minor or nonsubstantive ways, the following comparison is organized and formatted in a manner that in</w:t>
            </w:r>
            <w:r>
              <w:t>dicates the substantial differences between the introduced and committee substitute versions of the bill.</w:t>
            </w:r>
          </w:p>
          <w:p w:rsidR="00ED51F4" w:rsidRDefault="00CD49A7" w:rsidP="00D9098B">
            <w:pPr>
              <w:jc w:val="both"/>
            </w:pPr>
          </w:p>
          <w:p w:rsidR="00ED51F4" w:rsidRDefault="00CD49A7" w:rsidP="00D9098B">
            <w:pPr>
              <w:jc w:val="both"/>
            </w:pPr>
          </w:p>
          <w:p w:rsidR="00ED3BDF" w:rsidRPr="00ED3BDF" w:rsidRDefault="00CD49A7" w:rsidP="00D9098B">
            <w:pPr>
              <w:jc w:val="both"/>
            </w:pPr>
          </w:p>
        </w:tc>
      </w:tr>
      <w:tr w:rsidR="00090AC2" w:rsidTr="006A6CE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90AC2" w:rsidTr="00484DDE">
              <w:trPr>
                <w:cantSplit/>
                <w:tblHeader/>
              </w:trPr>
              <w:tc>
                <w:tcPr>
                  <w:tcW w:w="4680" w:type="dxa"/>
                  <w:tcMar>
                    <w:bottom w:w="188" w:type="dxa"/>
                  </w:tcMar>
                </w:tcPr>
                <w:p w:rsidR="006A6CE9" w:rsidRDefault="00CD49A7" w:rsidP="00D9098B">
                  <w:pPr>
                    <w:jc w:val="center"/>
                  </w:pPr>
                  <w:r>
                    <w:lastRenderedPageBreak/>
                    <w:t>INTRODUCED</w:t>
                  </w:r>
                </w:p>
              </w:tc>
              <w:tc>
                <w:tcPr>
                  <w:tcW w:w="4680" w:type="dxa"/>
                  <w:tcMar>
                    <w:bottom w:w="188" w:type="dxa"/>
                  </w:tcMar>
                </w:tcPr>
                <w:p w:rsidR="006A6CE9" w:rsidRDefault="00CD49A7" w:rsidP="00D9098B">
                  <w:pPr>
                    <w:jc w:val="center"/>
                  </w:pPr>
                  <w:r>
                    <w:t>HOUSE COMMITTEE SUBSTITUTE</w:t>
                  </w:r>
                </w:p>
              </w:tc>
            </w:tr>
            <w:tr w:rsidR="00090AC2" w:rsidTr="00484DDE">
              <w:tc>
                <w:tcPr>
                  <w:tcW w:w="4680" w:type="dxa"/>
                  <w:tcMar>
                    <w:right w:w="360" w:type="dxa"/>
                  </w:tcMar>
                </w:tcPr>
                <w:p w:rsidR="006165B9" w:rsidRDefault="00CD49A7" w:rsidP="00D9098B">
                  <w:pPr>
                    <w:jc w:val="both"/>
                  </w:pPr>
                  <w:r>
                    <w:t>SECTION 1.  Section 91.506, Natural Resources Code, is amended to read as follows:</w:t>
                  </w:r>
                </w:p>
                <w:p w:rsidR="006165B9" w:rsidRDefault="00CD49A7" w:rsidP="00D9098B">
                  <w:pPr>
                    <w:jc w:val="both"/>
                  </w:pPr>
                </w:p>
                <w:p w:rsidR="006165B9" w:rsidRDefault="00CD49A7" w:rsidP="00D9098B">
                  <w:pPr>
                    <w:jc w:val="both"/>
                  </w:pPr>
                  <w:r w:rsidRPr="006165B9">
                    <w:rPr>
                      <w:highlight w:val="lightGray"/>
                    </w:rPr>
                    <w:t xml:space="preserve">No equivalent </w:t>
                  </w:r>
                  <w:r w:rsidRPr="006165B9">
                    <w:rPr>
                      <w:highlight w:val="lightGray"/>
                    </w:rPr>
                    <w:t>provision.</w:t>
                  </w:r>
                </w:p>
              </w:tc>
              <w:tc>
                <w:tcPr>
                  <w:tcW w:w="4680" w:type="dxa"/>
                  <w:tcMar>
                    <w:left w:w="360" w:type="dxa"/>
                  </w:tcMar>
                </w:tcPr>
                <w:p w:rsidR="006165B9" w:rsidRDefault="00CD49A7" w:rsidP="00D9098B">
                  <w:pPr>
                    <w:jc w:val="both"/>
                  </w:pPr>
                  <w:r>
                    <w:t>SECTION 1.  Sections 91.501 and 91.506, Natural Resources Code, are amended to read as follows:</w:t>
                  </w:r>
                </w:p>
                <w:p w:rsidR="006165B9" w:rsidRDefault="00CD49A7" w:rsidP="00D9098B">
                  <w:pPr>
                    <w:jc w:val="both"/>
                  </w:pPr>
                </w:p>
                <w:p w:rsidR="006165B9" w:rsidRDefault="00CD49A7" w:rsidP="00D9098B">
                  <w:pPr>
                    <w:jc w:val="both"/>
                  </w:pPr>
                  <w:r w:rsidRPr="006165B9">
                    <w:t>Sec. 91.501.  INFORMATION REQUIRED.  If payment is made to a royalty interest owner from the proceeds derived from the sale of oil or gas production</w:t>
                  </w:r>
                  <w:r w:rsidRPr="006165B9">
                    <w:t xml:space="preserve"> pursuant to a division order, lease, servitude, or other agreement, the payor shall include the information required by Section 91.502 on the check stub, an attachment to the payment form, or another remittance advice </w:t>
                  </w:r>
                  <w:r w:rsidRPr="006165B9">
                    <w:rPr>
                      <w:u w:val="single"/>
                    </w:rPr>
                    <w:t>that accompanies the payment</w:t>
                  </w:r>
                  <w:r w:rsidRPr="006165B9">
                    <w:t>.</w:t>
                  </w:r>
                </w:p>
              </w:tc>
            </w:tr>
            <w:tr w:rsidR="00090AC2" w:rsidTr="00484DDE">
              <w:tc>
                <w:tcPr>
                  <w:tcW w:w="4680" w:type="dxa"/>
                  <w:tcMar>
                    <w:right w:w="360" w:type="dxa"/>
                  </w:tcMar>
                </w:tcPr>
                <w:p w:rsidR="00BD2923" w:rsidRDefault="00CD49A7" w:rsidP="00D9098B">
                  <w:pPr>
                    <w:jc w:val="both"/>
                  </w:pPr>
                  <w:r>
                    <w:t xml:space="preserve">Sec. 91.506.  EXEMPTION.  If </w:t>
                  </w:r>
                  <w:r w:rsidRPr="00ED7752">
                    <w:rPr>
                      <w:highlight w:val="lightGray"/>
                    </w:rPr>
                    <w:t xml:space="preserve">the </w:t>
                  </w:r>
                  <w:r w:rsidRPr="00ED7752">
                    <w:rPr>
                      <w:highlight w:val="lightGray"/>
                      <w:u w:val="single"/>
                    </w:rPr>
                    <w:t>p</w:t>
                  </w:r>
                  <w:r w:rsidRPr="001228CD">
                    <w:rPr>
                      <w:highlight w:val="lightGray"/>
                      <w:u w:val="single"/>
                    </w:rPr>
                    <w:t xml:space="preserve">ayor obtains the written consent of the royalty interest owner to </w:t>
                  </w:r>
                  <w:r w:rsidRPr="00BD2923">
                    <w:rPr>
                      <w:highlight w:val="lightGray"/>
                      <w:u w:val="single"/>
                    </w:rPr>
                    <w:t>provide</w:t>
                  </w:r>
                  <w:r w:rsidRPr="00ED7752">
                    <w:rPr>
                      <w:u w:val="single"/>
                    </w:rPr>
                    <w:t xml:space="preserve"> the</w:t>
                  </w:r>
                  <w:r>
                    <w:t xml:space="preserve"> information required by Section 91.502 </w:t>
                  </w:r>
                  <w:r w:rsidRPr="00F814BF">
                    <w:rPr>
                      <w:highlight w:val="lightGray"/>
                    </w:rPr>
                    <w:t>[</w:t>
                  </w:r>
                  <w:r w:rsidRPr="00F814BF">
                    <w:rPr>
                      <w:strike/>
                      <w:highlight w:val="lightGray"/>
                    </w:rPr>
                    <w:t>is provided</w:t>
                  </w:r>
                  <w:r w:rsidRPr="00F814BF">
                    <w:rPr>
                      <w:highlight w:val="lightGray"/>
                    </w:rPr>
                    <w:t>]</w:t>
                  </w:r>
                  <w:r>
                    <w:t xml:space="preserve"> in some other manner </w:t>
                  </w:r>
                  <w:r w:rsidRPr="001228CD">
                    <w:rPr>
                      <w:highlight w:val="lightGray"/>
                      <w:u w:val="single"/>
                    </w:rPr>
                    <w:t>and the payor provides the information in that manner</w:t>
                  </w:r>
                  <w:r>
                    <w:t xml:space="preserve"> on a monthly bas</w:t>
                  </w:r>
                  <w:r>
                    <w:t xml:space="preserve">is, </w:t>
                  </w:r>
                </w:p>
                <w:p w:rsidR="006A6CE9" w:rsidRDefault="00CD49A7" w:rsidP="00D9098B">
                  <w:pPr>
                    <w:jc w:val="both"/>
                  </w:pPr>
                  <w:r>
                    <w:t xml:space="preserve">the payor is not required to include the information on the check stub, attachment to the payment form, or </w:t>
                  </w:r>
                  <w:r w:rsidRPr="007B76AC">
                    <w:t>other</w:t>
                  </w:r>
                  <w:r>
                    <w:t xml:space="preserve"> remittance advice.</w:t>
                  </w:r>
                </w:p>
                <w:p w:rsidR="006A6CE9" w:rsidRDefault="00CD49A7" w:rsidP="00D9098B">
                  <w:pPr>
                    <w:jc w:val="both"/>
                  </w:pPr>
                </w:p>
              </w:tc>
              <w:tc>
                <w:tcPr>
                  <w:tcW w:w="4680" w:type="dxa"/>
                  <w:tcMar>
                    <w:left w:w="360" w:type="dxa"/>
                  </w:tcMar>
                </w:tcPr>
                <w:p w:rsidR="00484DDE" w:rsidRDefault="00CD49A7" w:rsidP="00D9098B">
                  <w:pPr>
                    <w:jc w:val="both"/>
                  </w:pPr>
                  <w:r>
                    <w:t xml:space="preserve">Sec. 91.506.  EXEMPTION.  </w:t>
                  </w:r>
                  <w:r w:rsidRPr="001228CD">
                    <w:rPr>
                      <w:highlight w:val="lightGray"/>
                      <w:u w:val="single"/>
                    </w:rPr>
                    <w:t>(a)  Except as provided by Subsection (b),</w:t>
                  </w:r>
                  <w:r>
                    <w:rPr>
                      <w:u w:val="single"/>
                    </w:rPr>
                    <w:t xml:space="preserve"> if</w:t>
                  </w:r>
                  <w:r>
                    <w:t xml:space="preserve"> [</w:t>
                  </w:r>
                  <w:r>
                    <w:rPr>
                      <w:strike/>
                    </w:rPr>
                    <w:t>If</w:t>
                  </w:r>
                  <w:r>
                    <w:t>] the information required by Section 91.50</w:t>
                  </w:r>
                  <w:r>
                    <w:t xml:space="preserve">2 </w:t>
                  </w:r>
                  <w:r w:rsidRPr="00F814BF">
                    <w:rPr>
                      <w:highlight w:val="lightGray"/>
                    </w:rPr>
                    <w:t>is provided</w:t>
                  </w:r>
                  <w:r>
                    <w:t xml:space="preserve"> in some other manner </w:t>
                  </w:r>
                  <w:r>
                    <w:t>o</w:t>
                  </w:r>
                  <w:r>
                    <w:t xml:space="preserve">n a monthly basis, </w:t>
                  </w:r>
                </w:p>
                <w:p w:rsidR="00484DDE" w:rsidRDefault="00CD49A7" w:rsidP="00D9098B">
                  <w:pPr>
                    <w:jc w:val="both"/>
                  </w:pPr>
                </w:p>
                <w:p w:rsidR="00BD2923" w:rsidRDefault="00CD49A7" w:rsidP="00D9098B">
                  <w:pPr>
                    <w:jc w:val="both"/>
                  </w:pPr>
                </w:p>
                <w:p w:rsidR="006A6CE9" w:rsidRDefault="00CD49A7" w:rsidP="00D9098B">
                  <w:pPr>
                    <w:jc w:val="both"/>
                  </w:pPr>
                  <w:r>
                    <w:t>the</w:t>
                  </w:r>
                  <w:r>
                    <w:t xml:space="preserve"> </w:t>
                  </w:r>
                  <w:r>
                    <w:t xml:space="preserve">payor is not required to include the information on the check stub, </w:t>
                  </w:r>
                  <w:r w:rsidRPr="007B76AC">
                    <w:rPr>
                      <w:u w:val="single"/>
                    </w:rPr>
                    <w:t>an</w:t>
                  </w:r>
                  <w:r>
                    <w:t xml:space="preserve"> attachment to the payment form, or </w:t>
                  </w:r>
                  <w:r w:rsidRPr="007B76AC">
                    <w:rPr>
                      <w:u w:val="single"/>
                    </w:rPr>
                    <w:t>another</w:t>
                  </w:r>
                  <w:r w:rsidRPr="007B76AC">
                    <w:t xml:space="preserve"> [</w:t>
                  </w:r>
                  <w:r w:rsidRPr="007B76AC">
                    <w:rPr>
                      <w:strike/>
                    </w:rPr>
                    <w:t>other</w:t>
                  </w:r>
                  <w:r w:rsidRPr="007B76AC">
                    <w:t>]</w:t>
                  </w:r>
                  <w:r>
                    <w:t xml:space="preserve"> remittance advice </w:t>
                  </w:r>
                  <w:r w:rsidRPr="001228CD">
                    <w:rPr>
                      <w:highlight w:val="lightGray"/>
                      <w:u w:val="single"/>
                    </w:rPr>
                    <w:t>that accompanies the payment</w:t>
                  </w:r>
                  <w:r>
                    <w:t>.</w:t>
                  </w:r>
                </w:p>
                <w:p w:rsidR="006A6CE9" w:rsidRDefault="00CD49A7" w:rsidP="00D9098B">
                  <w:pPr>
                    <w:jc w:val="both"/>
                  </w:pPr>
                  <w:r w:rsidRPr="001228CD">
                    <w:rPr>
                      <w:highlight w:val="lightGray"/>
                      <w:u w:val="single"/>
                    </w:rPr>
                    <w:t xml:space="preserve">(b)  If payment is made </w:t>
                  </w:r>
                  <w:r w:rsidRPr="001228CD">
                    <w:rPr>
                      <w:highlight w:val="lightGray"/>
                      <w:u w:val="single"/>
                    </w:rPr>
                    <w:t>to the royalty interest owner by a paper check delivered by mail or by means of a private delivery service, the payor may not provide the information required by Section 91.502 in a manner other than by including the information on the check stub, an attac</w:t>
                  </w:r>
                  <w:r w:rsidRPr="001228CD">
                    <w:rPr>
                      <w:highlight w:val="lightGray"/>
                      <w:u w:val="single"/>
                    </w:rPr>
                    <w:t>hment to the payment form, or another remittance advice that accompanies the payment unless the payor obtains the written consent of the royalty interest owner to provide the information in some other manner.</w:t>
                  </w:r>
                </w:p>
                <w:p w:rsidR="006A6CE9" w:rsidRDefault="00CD49A7" w:rsidP="00D9098B">
                  <w:pPr>
                    <w:jc w:val="both"/>
                  </w:pPr>
                </w:p>
              </w:tc>
            </w:tr>
            <w:tr w:rsidR="00090AC2" w:rsidTr="00484DDE">
              <w:tc>
                <w:tcPr>
                  <w:tcW w:w="4680" w:type="dxa"/>
                  <w:tcMar>
                    <w:right w:w="360" w:type="dxa"/>
                  </w:tcMar>
                </w:tcPr>
                <w:p w:rsidR="006A6CE9" w:rsidRDefault="00CD49A7" w:rsidP="00D9098B">
                  <w:pPr>
                    <w:jc w:val="both"/>
                  </w:pPr>
                  <w:r>
                    <w:t xml:space="preserve">SECTION 2.  </w:t>
                  </w:r>
                  <w:r w:rsidRPr="007B76AC">
                    <w:rPr>
                      <w:highlight w:val="lightGray"/>
                    </w:rPr>
                    <w:t>This Act takes effect immediately</w:t>
                  </w:r>
                  <w:r w:rsidRPr="007B76AC">
                    <w:rPr>
                      <w:highlight w:val="lightGray"/>
                    </w:rPr>
                    <w:t xml:space="preserve"> if it receives a vote of two-thirds of all the members elected to each house, as provided by Section 39, Article III, Texas Constitution.  If this Act does not receive the vote necessary for immediate effect,</w:t>
                  </w:r>
                  <w:r w:rsidRPr="007B76AC">
                    <w:t xml:space="preserve"> this Act takes effect</w:t>
                  </w:r>
                  <w:r w:rsidRPr="001228CD">
                    <w:t xml:space="preserve"> September 1, 2017.</w:t>
                  </w:r>
                </w:p>
                <w:p w:rsidR="006A6CE9" w:rsidRDefault="00CD49A7" w:rsidP="00D9098B">
                  <w:pPr>
                    <w:jc w:val="both"/>
                  </w:pPr>
                </w:p>
              </w:tc>
              <w:tc>
                <w:tcPr>
                  <w:tcW w:w="4680" w:type="dxa"/>
                  <w:tcMar>
                    <w:left w:w="360" w:type="dxa"/>
                  </w:tcMar>
                </w:tcPr>
                <w:p w:rsidR="006A6CE9" w:rsidRDefault="00CD49A7" w:rsidP="00D9098B">
                  <w:pPr>
                    <w:jc w:val="both"/>
                  </w:pPr>
                  <w:r>
                    <w:t>SECT</w:t>
                  </w:r>
                  <w:r>
                    <w:t>ION 2.  This Act takes effect September 1, 2017.</w:t>
                  </w:r>
                </w:p>
                <w:p w:rsidR="006A6CE9" w:rsidRDefault="00CD49A7" w:rsidP="00D9098B">
                  <w:pPr>
                    <w:jc w:val="both"/>
                  </w:pPr>
                </w:p>
              </w:tc>
            </w:tr>
          </w:tbl>
          <w:p w:rsidR="006A6CE9" w:rsidRPr="009C1E9A" w:rsidRDefault="00CD49A7" w:rsidP="00D9098B">
            <w:pPr>
              <w:rPr>
                <w:b/>
                <w:u w:val="single"/>
              </w:rPr>
            </w:pPr>
          </w:p>
        </w:tc>
      </w:tr>
    </w:tbl>
    <w:p w:rsidR="004108C3" w:rsidRPr="008423E4" w:rsidRDefault="00CD49A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9A7">
      <w:r>
        <w:separator/>
      </w:r>
    </w:p>
  </w:endnote>
  <w:endnote w:type="continuationSeparator" w:id="0">
    <w:p w:rsidR="00000000" w:rsidRDefault="00CD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90AC2" w:rsidTr="009C1E9A">
      <w:trPr>
        <w:cantSplit/>
      </w:trPr>
      <w:tc>
        <w:tcPr>
          <w:tcW w:w="0" w:type="pct"/>
        </w:tcPr>
        <w:p w:rsidR="00137D90" w:rsidRDefault="00CD49A7" w:rsidP="009C1E9A">
          <w:pPr>
            <w:pStyle w:val="Footer"/>
            <w:tabs>
              <w:tab w:val="clear" w:pos="8640"/>
              <w:tab w:val="right" w:pos="9360"/>
            </w:tabs>
          </w:pPr>
        </w:p>
      </w:tc>
      <w:tc>
        <w:tcPr>
          <w:tcW w:w="2395" w:type="pct"/>
        </w:tcPr>
        <w:p w:rsidR="00137D90" w:rsidRDefault="00CD49A7" w:rsidP="009C1E9A">
          <w:pPr>
            <w:pStyle w:val="Footer"/>
            <w:tabs>
              <w:tab w:val="clear" w:pos="8640"/>
              <w:tab w:val="right" w:pos="9360"/>
            </w:tabs>
          </w:pPr>
        </w:p>
        <w:p w:rsidR="001A4310" w:rsidRDefault="00CD49A7" w:rsidP="009C1E9A">
          <w:pPr>
            <w:pStyle w:val="Footer"/>
            <w:tabs>
              <w:tab w:val="clear" w:pos="8640"/>
              <w:tab w:val="right" w:pos="9360"/>
            </w:tabs>
          </w:pPr>
        </w:p>
        <w:p w:rsidR="00137D90" w:rsidRDefault="00CD49A7" w:rsidP="009C1E9A">
          <w:pPr>
            <w:pStyle w:val="Footer"/>
            <w:tabs>
              <w:tab w:val="clear" w:pos="8640"/>
              <w:tab w:val="right" w:pos="9360"/>
            </w:tabs>
          </w:pPr>
        </w:p>
      </w:tc>
      <w:tc>
        <w:tcPr>
          <w:tcW w:w="2453" w:type="pct"/>
        </w:tcPr>
        <w:p w:rsidR="00137D90" w:rsidRDefault="00CD49A7" w:rsidP="009C1E9A">
          <w:pPr>
            <w:pStyle w:val="Footer"/>
            <w:tabs>
              <w:tab w:val="clear" w:pos="8640"/>
              <w:tab w:val="right" w:pos="9360"/>
            </w:tabs>
            <w:jc w:val="right"/>
          </w:pPr>
        </w:p>
      </w:tc>
    </w:tr>
    <w:tr w:rsidR="00090AC2" w:rsidTr="009C1E9A">
      <w:trPr>
        <w:cantSplit/>
      </w:trPr>
      <w:tc>
        <w:tcPr>
          <w:tcW w:w="0" w:type="pct"/>
        </w:tcPr>
        <w:p w:rsidR="00EC379B" w:rsidRDefault="00CD49A7" w:rsidP="009C1E9A">
          <w:pPr>
            <w:pStyle w:val="Footer"/>
            <w:tabs>
              <w:tab w:val="clear" w:pos="8640"/>
              <w:tab w:val="right" w:pos="9360"/>
            </w:tabs>
          </w:pPr>
        </w:p>
      </w:tc>
      <w:tc>
        <w:tcPr>
          <w:tcW w:w="2395" w:type="pct"/>
        </w:tcPr>
        <w:p w:rsidR="00EC379B" w:rsidRPr="009C1E9A" w:rsidRDefault="00CD49A7" w:rsidP="009C1E9A">
          <w:pPr>
            <w:pStyle w:val="Footer"/>
            <w:tabs>
              <w:tab w:val="clear" w:pos="8640"/>
              <w:tab w:val="right" w:pos="9360"/>
            </w:tabs>
            <w:rPr>
              <w:rFonts w:ascii="Shruti" w:hAnsi="Shruti"/>
              <w:sz w:val="22"/>
            </w:rPr>
          </w:pPr>
          <w:r>
            <w:rPr>
              <w:rFonts w:ascii="Shruti" w:hAnsi="Shruti"/>
              <w:sz w:val="22"/>
            </w:rPr>
            <w:t>85R 22944</w:t>
          </w:r>
        </w:p>
      </w:tc>
      <w:tc>
        <w:tcPr>
          <w:tcW w:w="2453" w:type="pct"/>
        </w:tcPr>
        <w:p w:rsidR="00EC379B" w:rsidRDefault="00CD49A7" w:rsidP="009C1E9A">
          <w:pPr>
            <w:pStyle w:val="Footer"/>
            <w:tabs>
              <w:tab w:val="clear" w:pos="8640"/>
              <w:tab w:val="right" w:pos="9360"/>
            </w:tabs>
            <w:jc w:val="right"/>
          </w:pPr>
          <w:r>
            <w:fldChar w:fldCharType="begin"/>
          </w:r>
          <w:r>
            <w:instrText xml:space="preserve"> DOCPROPERTY  OTID  \* MERGEFORMAT </w:instrText>
          </w:r>
          <w:r>
            <w:fldChar w:fldCharType="separate"/>
          </w:r>
          <w:r>
            <w:t>17.101.623</w:t>
          </w:r>
          <w:r>
            <w:fldChar w:fldCharType="end"/>
          </w:r>
        </w:p>
      </w:tc>
    </w:tr>
    <w:tr w:rsidR="00090AC2" w:rsidTr="009C1E9A">
      <w:trPr>
        <w:cantSplit/>
      </w:trPr>
      <w:tc>
        <w:tcPr>
          <w:tcW w:w="0" w:type="pct"/>
        </w:tcPr>
        <w:p w:rsidR="00EC379B" w:rsidRDefault="00CD49A7" w:rsidP="009C1E9A">
          <w:pPr>
            <w:pStyle w:val="Footer"/>
            <w:tabs>
              <w:tab w:val="clear" w:pos="4320"/>
              <w:tab w:val="clear" w:pos="8640"/>
              <w:tab w:val="left" w:pos="2865"/>
            </w:tabs>
          </w:pPr>
        </w:p>
      </w:tc>
      <w:tc>
        <w:tcPr>
          <w:tcW w:w="2395" w:type="pct"/>
        </w:tcPr>
        <w:p w:rsidR="00EC379B" w:rsidRPr="009C1E9A" w:rsidRDefault="00CD49A7" w:rsidP="009C1E9A">
          <w:pPr>
            <w:pStyle w:val="Footer"/>
            <w:tabs>
              <w:tab w:val="clear" w:pos="4320"/>
              <w:tab w:val="clear" w:pos="8640"/>
              <w:tab w:val="left" w:pos="2865"/>
            </w:tabs>
            <w:rPr>
              <w:rFonts w:ascii="Shruti" w:hAnsi="Shruti"/>
              <w:sz w:val="22"/>
            </w:rPr>
          </w:pPr>
          <w:r>
            <w:rPr>
              <w:rFonts w:ascii="Shruti" w:hAnsi="Shruti"/>
              <w:sz w:val="22"/>
            </w:rPr>
            <w:t>Substitute Document Number: 85R 20804</w:t>
          </w:r>
        </w:p>
      </w:tc>
      <w:tc>
        <w:tcPr>
          <w:tcW w:w="2453" w:type="pct"/>
        </w:tcPr>
        <w:p w:rsidR="00EC379B" w:rsidRDefault="00CD49A7" w:rsidP="006D504F">
          <w:pPr>
            <w:pStyle w:val="Footer"/>
            <w:rPr>
              <w:rStyle w:val="PageNumber"/>
            </w:rPr>
          </w:pPr>
        </w:p>
        <w:p w:rsidR="00EC379B" w:rsidRDefault="00CD49A7" w:rsidP="009C1E9A">
          <w:pPr>
            <w:pStyle w:val="Footer"/>
            <w:tabs>
              <w:tab w:val="clear" w:pos="8640"/>
              <w:tab w:val="right" w:pos="9360"/>
            </w:tabs>
            <w:jc w:val="right"/>
          </w:pPr>
        </w:p>
      </w:tc>
    </w:tr>
    <w:tr w:rsidR="00090AC2" w:rsidTr="009C1E9A">
      <w:trPr>
        <w:cantSplit/>
        <w:trHeight w:val="323"/>
      </w:trPr>
      <w:tc>
        <w:tcPr>
          <w:tcW w:w="0" w:type="pct"/>
          <w:gridSpan w:val="3"/>
        </w:tcPr>
        <w:p w:rsidR="00EC379B" w:rsidRDefault="00CD49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49A7" w:rsidP="009C1E9A">
          <w:pPr>
            <w:pStyle w:val="Footer"/>
            <w:tabs>
              <w:tab w:val="clear" w:pos="8640"/>
              <w:tab w:val="right" w:pos="9360"/>
            </w:tabs>
            <w:jc w:val="center"/>
          </w:pPr>
        </w:p>
      </w:tc>
    </w:tr>
  </w:tbl>
  <w:p w:rsidR="00EC379B" w:rsidRPr="00FF6F72" w:rsidRDefault="00CD49A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9A7">
      <w:r>
        <w:separator/>
      </w:r>
    </w:p>
  </w:footnote>
  <w:footnote w:type="continuationSeparator" w:id="0">
    <w:p w:rsidR="00000000" w:rsidRDefault="00CD4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C2"/>
    <w:rsid w:val="00090AC2"/>
    <w:rsid w:val="00C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7F89"/>
    <w:rPr>
      <w:sz w:val="16"/>
      <w:szCs w:val="16"/>
    </w:rPr>
  </w:style>
  <w:style w:type="paragraph" w:styleId="CommentText">
    <w:name w:val="annotation text"/>
    <w:basedOn w:val="Normal"/>
    <w:link w:val="CommentTextChar"/>
    <w:rsid w:val="002D7F89"/>
    <w:rPr>
      <w:sz w:val="20"/>
      <w:szCs w:val="20"/>
    </w:rPr>
  </w:style>
  <w:style w:type="character" w:customStyle="1" w:styleId="CommentTextChar">
    <w:name w:val="Comment Text Char"/>
    <w:basedOn w:val="DefaultParagraphFont"/>
    <w:link w:val="CommentText"/>
    <w:rsid w:val="002D7F89"/>
  </w:style>
  <w:style w:type="paragraph" w:styleId="CommentSubject">
    <w:name w:val="annotation subject"/>
    <w:basedOn w:val="CommentText"/>
    <w:next w:val="CommentText"/>
    <w:link w:val="CommentSubjectChar"/>
    <w:rsid w:val="002D7F89"/>
    <w:rPr>
      <w:b/>
      <w:bCs/>
    </w:rPr>
  </w:style>
  <w:style w:type="character" w:customStyle="1" w:styleId="CommentSubjectChar">
    <w:name w:val="Comment Subject Char"/>
    <w:basedOn w:val="CommentTextChar"/>
    <w:link w:val="CommentSubject"/>
    <w:rsid w:val="002D7F89"/>
    <w:rPr>
      <w:b/>
      <w:bCs/>
    </w:rPr>
  </w:style>
  <w:style w:type="character" w:styleId="Hyperlink">
    <w:name w:val="Hyperlink"/>
    <w:basedOn w:val="DefaultParagraphFont"/>
    <w:rsid w:val="008D195B"/>
    <w:rPr>
      <w:color w:val="0000FF" w:themeColor="hyperlink"/>
      <w:u w:val="single"/>
    </w:rPr>
  </w:style>
  <w:style w:type="character" w:styleId="FollowedHyperlink">
    <w:name w:val="FollowedHyperlink"/>
    <w:basedOn w:val="DefaultParagraphFont"/>
    <w:rsid w:val="008D195B"/>
    <w:rPr>
      <w:color w:val="800080" w:themeColor="followedHyperlink"/>
      <w:u w:val="single"/>
    </w:rPr>
  </w:style>
  <w:style w:type="paragraph" w:styleId="Revision">
    <w:name w:val="Revision"/>
    <w:hidden/>
    <w:uiPriority w:val="99"/>
    <w:semiHidden/>
    <w:rsid w:val="00F41A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7F89"/>
    <w:rPr>
      <w:sz w:val="16"/>
      <w:szCs w:val="16"/>
    </w:rPr>
  </w:style>
  <w:style w:type="paragraph" w:styleId="CommentText">
    <w:name w:val="annotation text"/>
    <w:basedOn w:val="Normal"/>
    <w:link w:val="CommentTextChar"/>
    <w:rsid w:val="002D7F89"/>
    <w:rPr>
      <w:sz w:val="20"/>
      <w:szCs w:val="20"/>
    </w:rPr>
  </w:style>
  <w:style w:type="character" w:customStyle="1" w:styleId="CommentTextChar">
    <w:name w:val="Comment Text Char"/>
    <w:basedOn w:val="DefaultParagraphFont"/>
    <w:link w:val="CommentText"/>
    <w:rsid w:val="002D7F89"/>
  </w:style>
  <w:style w:type="paragraph" w:styleId="CommentSubject">
    <w:name w:val="annotation subject"/>
    <w:basedOn w:val="CommentText"/>
    <w:next w:val="CommentText"/>
    <w:link w:val="CommentSubjectChar"/>
    <w:rsid w:val="002D7F89"/>
    <w:rPr>
      <w:b/>
      <w:bCs/>
    </w:rPr>
  </w:style>
  <w:style w:type="character" w:customStyle="1" w:styleId="CommentSubjectChar">
    <w:name w:val="Comment Subject Char"/>
    <w:basedOn w:val="CommentTextChar"/>
    <w:link w:val="CommentSubject"/>
    <w:rsid w:val="002D7F89"/>
    <w:rPr>
      <w:b/>
      <w:bCs/>
    </w:rPr>
  </w:style>
  <w:style w:type="character" w:styleId="Hyperlink">
    <w:name w:val="Hyperlink"/>
    <w:basedOn w:val="DefaultParagraphFont"/>
    <w:rsid w:val="008D195B"/>
    <w:rPr>
      <w:color w:val="0000FF" w:themeColor="hyperlink"/>
      <w:u w:val="single"/>
    </w:rPr>
  </w:style>
  <w:style w:type="character" w:styleId="FollowedHyperlink">
    <w:name w:val="FollowedHyperlink"/>
    <w:basedOn w:val="DefaultParagraphFont"/>
    <w:rsid w:val="008D195B"/>
    <w:rPr>
      <w:color w:val="800080" w:themeColor="followedHyperlink"/>
      <w:u w:val="single"/>
    </w:rPr>
  </w:style>
  <w:style w:type="paragraph" w:styleId="Revision">
    <w:name w:val="Revision"/>
    <w:hidden/>
    <w:uiPriority w:val="99"/>
    <w:semiHidden/>
    <w:rsid w:val="00F41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3790</Characters>
  <Application>Microsoft Office Word</Application>
  <DocSecurity>4</DocSecurity>
  <Lines>128</Lines>
  <Paragraphs>30</Paragraphs>
  <ScaleCrop>false</ScaleCrop>
  <HeadingPairs>
    <vt:vector size="2" baseType="variant">
      <vt:variant>
        <vt:lpstr>Title</vt:lpstr>
      </vt:variant>
      <vt:variant>
        <vt:i4>1</vt:i4>
      </vt:variant>
    </vt:vector>
  </HeadingPairs>
  <TitlesOfParts>
    <vt:vector size="1" baseType="lpstr">
      <vt:lpstr>BA - HB00129 (Committee Report (Substituted))</vt:lpstr>
    </vt:vector>
  </TitlesOfParts>
  <Company>State of Texas</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22944</dc:subject>
  <dc:creator>State of Texas</dc:creator>
  <dc:description>HB 129 by Craddick-(H)Energy Resources (Substitute Document Number: 85R 20804)</dc:description>
  <cp:lastModifiedBy>Molly Hoffman-Bricker</cp:lastModifiedBy>
  <cp:revision>2</cp:revision>
  <cp:lastPrinted>2017-04-11T21:07:00Z</cp:lastPrinted>
  <dcterms:created xsi:type="dcterms:W3CDTF">2017-04-20T15:23:00Z</dcterms:created>
  <dcterms:modified xsi:type="dcterms:W3CDTF">2017-04-20T15:23:00Z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17.101.623</vt:lpwstr>
  </property>
</Properties>
</file>