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64BD9" w:rsidTr="00345119">
        <w:tc>
          <w:tcPr>
            <w:tcW w:w="9576" w:type="dxa"/>
            <w:noWrap/>
          </w:tcPr>
          <w:p w:rsidR="008423E4" w:rsidRPr="0022177D" w:rsidRDefault="00D33D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3D78" w:rsidP="008423E4">
      <w:pPr>
        <w:jc w:val="center"/>
      </w:pPr>
    </w:p>
    <w:p w:rsidR="008423E4" w:rsidRPr="00B31F0E" w:rsidRDefault="00D33D78" w:rsidP="008423E4"/>
    <w:p w:rsidR="008423E4" w:rsidRPr="00742794" w:rsidRDefault="00D33D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4BD9" w:rsidTr="00345119">
        <w:tc>
          <w:tcPr>
            <w:tcW w:w="9576" w:type="dxa"/>
          </w:tcPr>
          <w:p w:rsidR="008423E4" w:rsidRPr="00861995" w:rsidRDefault="00D33D78" w:rsidP="00345119">
            <w:pPr>
              <w:jc w:val="right"/>
            </w:pPr>
            <w:r>
              <w:t>C.S.H.B. 256</w:t>
            </w:r>
          </w:p>
        </w:tc>
      </w:tr>
      <w:tr w:rsidR="00C64BD9" w:rsidTr="00345119">
        <w:tc>
          <w:tcPr>
            <w:tcW w:w="9576" w:type="dxa"/>
          </w:tcPr>
          <w:p w:rsidR="008423E4" w:rsidRPr="00861995" w:rsidRDefault="00D33D78" w:rsidP="00FB42EA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C64BD9" w:rsidTr="00345119">
        <w:tc>
          <w:tcPr>
            <w:tcW w:w="9576" w:type="dxa"/>
          </w:tcPr>
          <w:p w:rsidR="008423E4" w:rsidRPr="00861995" w:rsidRDefault="00D33D78" w:rsidP="00345119">
            <w:pPr>
              <w:jc w:val="right"/>
            </w:pPr>
            <w:r>
              <w:t>Judiciary &amp; Civil Jurisprudence</w:t>
            </w:r>
          </w:p>
        </w:tc>
      </w:tr>
      <w:tr w:rsidR="00C64BD9" w:rsidTr="00345119">
        <w:tc>
          <w:tcPr>
            <w:tcW w:w="9576" w:type="dxa"/>
          </w:tcPr>
          <w:p w:rsidR="008423E4" w:rsidRDefault="00D33D7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33D78" w:rsidP="008423E4">
      <w:pPr>
        <w:tabs>
          <w:tab w:val="right" w:pos="9360"/>
        </w:tabs>
      </w:pPr>
    </w:p>
    <w:p w:rsidR="008423E4" w:rsidRDefault="00D33D78" w:rsidP="008423E4"/>
    <w:p w:rsidR="008423E4" w:rsidRDefault="00D33D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64BD9" w:rsidTr="00FB42EA">
        <w:tc>
          <w:tcPr>
            <w:tcW w:w="9582" w:type="dxa"/>
          </w:tcPr>
          <w:p w:rsidR="008423E4" w:rsidRPr="00A8133F" w:rsidRDefault="00D33D78" w:rsidP="007836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3D78" w:rsidP="00783612"/>
          <w:p w:rsidR="008423E4" w:rsidRDefault="00D33D78" w:rsidP="00783612">
            <w:pPr>
              <w:pStyle w:val="Header"/>
              <w:jc w:val="both"/>
            </w:pPr>
            <w:r>
              <w:t xml:space="preserve">Interested parties are concerned that </w:t>
            </w:r>
            <w:r>
              <w:t>cit</w:t>
            </w:r>
            <w:r>
              <w:t>ies lack the ability</w:t>
            </w:r>
            <w:r>
              <w:t xml:space="preserve"> to </w:t>
            </w:r>
            <w:r>
              <w:t xml:space="preserve">directly </w:t>
            </w:r>
            <w:r>
              <w:t xml:space="preserve">address establishments </w:t>
            </w:r>
            <w:r>
              <w:t>that</w:t>
            </w:r>
            <w:r>
              <w:t xml:space="preserve"> are a common nuisance due to their violation of</w:t>
            </w:r>
            <w:r>
              <w:t xml:space="preserve"> </w:t>
            </w:r>
            <w:r>
              <w:t>the Alcoholic Beverage Code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256</w:t>
            </w:r>
            <w:r>
              <w:t xml:space="preserve"> seeks to </w:t>
            </w:r>
            <w:r>
              <w:t xml:space="preserve">address this issue </w:t>
            </w:r>
            <w:r>
              <w:t xml:space="preserve">by </w:t>
            </w:r>
            <w:r>
              <w:t xml:space="preserve">authorizing a city attorney to </w:t>
            </w:r>
            <w:r>
              <w:t xml:space="preserve">sue in the name of the </w:t>
            </w:r>
            <w:r>
              <w:t xml:space="preserve">city </w:t>
            </w:r>
            <w:r>
              <w:t xml:space="preserve">to abate and enjoin the </w:t>
            </w:r>
            <w:r>
              <w:t xml:space="preserve">common </w:t>
            </w:r>
            <w:r>
              <w:t>nuisance</w:t>
            </w:r>
            <w:r>
              <w:t>.</w:t>
            </w:r>
          </w:p>
          <w:p w:rsidR="008423E4" w:rsidRPr="00E26B13" w:rsidRDefault="00D33D78" w:rsidP="00783612">
            <w:pPr>
              <w:rPr>
                <w:b/>
              </w:rPr>
            </w:pPr>
          </w:p>
        </w:tc>
      </w:tr>
      <w:tr w:rsidR="00C64BD9" w:rsidTr="00FB42EA">
        <w:tc>
          <w:tcPr>
            <w:tcW w:w="9582" w:type="dxa"/>
          </w:tcPr>
          <w:p w:rsidR="0017725B" w:rsidRDefault="00D33D78" w:rsidP="007836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3D78" w:rsidP="00783612">
            <w:pPr>
              <w:rPr>
                <w:b/>
                <w:u w:val="single"/>
              </w:rPr>
            </w:pPr>
          </w:p>
          <w:p w:rsidR="00686130" w:rsidRPr="00686130" w:rsidRDefault="00D33D78" w:rsidP="00783612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D33D78" w:rsidP="00783612">
            <w:pPr>
              <w:rPr>
                <w:b/>
                <w:u w:val="single"/>
              </w:rPr>
            </w:pPr>
          </w:p>
        </w:tc>
      </w:tr>
      <w:tr w:rsidR="00C64BD9" w:rsidTr="00FB42EA">
        <w:tc>
          <w:tcPr>
            <w:tcW w:w="9582" w:type="dxa"/>
          </w:tcPr>
          <w:p w:rsidR="008423E4" w:rsidRPr="00A8133F" w:rsidRDefault="00D33D78" w:rsidP="007836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3D78" w:rsidP="00783612"/>
          <w:p w:rsidR="00686130" w:rsidRDefault="00D33D78" w:rsidP="0078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33D78" w:rsidP="00783612">
            <w:pPr>
              <w:rPr>
                <w:b/>
              </w:rPr>
            </w:pPr>
          </w:p>
        </w:tc>
      </w:tr>
      <w:tr w:rsidR="00C64BD9" w:rsidTr="00FB42EA">
        <w:tc>
          <w:tcPr>
            <w:tcW w:w="9582" w:type="dxa"/>
          </w:tcPr>
          <w:p w:rsidR="008423E4" w:rsidRPr="00A8133F" w:rsidRDefault="00D33D78" w:rsidP="007836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3D78" w:rsidP="00783612"/>
          <w:p w:rsidR="008423E4" w:rsidRDefault="00D33D78" w:rsidP="0078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256 </w:t>
            </w:r>
            <w:r>
              <w:t>amend</w:t>
            </w:r>
            <w:r>
              <w:t>s</w:t>
            </w:r>
            <w:r>
              <w:t xml:space="preserve"> the Alcoholic Beverage Code to authorize </w:t>
            </w:r>
            <w:r>
              <w:t>the</w:t>
            </w:r>
            <w:r w:rsidRPr="00C068A1">
              <w:t xml:space="preserve"> </w:t>
            </w:r>
            <w:r w:rsidRPr="00C068A1">
              <w:t>cit</w:t>
            </w:r>
            <w:r>
              <w:t xml:space="preserve">y attorney in </w:t>
            </w:r>
            <w:r>
              <w:t xml:space="preserve">a </w:t>
            </w:r>
            <w:r>
              <w:t xml:space="preserve">city where a </w:t>
            </w:r>
            <w:r>
              <w:t>common</w:t>
            </w:r>
            <w:r w:rsidRPr="00C068A1">
              <w:t xml:space="preserve"> nuisance</w:t>
            </w:r>
            <w:r>
              <w:t xml:space="preserve"> relating to a place where alcoholic beverages are sold, bartered, manufactured, stored, possessed, or consumed</w:t>
            </w:r>
            <w:r w:rsidRPr="00C068A1">
              <w:t xml:space="preserve"> exists</w:t>
            </w:r>
            <w:r>
              <w:t xml:space="preserve"> to</w:t>
            </w:r>
            <w:r w:rsidRPr="004B36C5">
              <w:t xml:space="preserve"> sue in the name of the </w:t>
            </w:r>
            <w:r>
              <w:t>city</w:t>
            </w:r>
            <w:r w:rsidRPr="004B36C5">
              <w:t xml:space="preserve"> </w:t>
            </w:r>
            <w:r w:rsidRPr="004B36C5">
              <w:t>for an injunc</w:t>
            </w:r>
            <w:r w:rsidRPr="004B36C5">
              <w:t xml:space="preserve">tion to abate and temporarily and permanently enjoin </w:t>
            </w:r>
            <w:r>
              <w:t>the nuisance</w:t>
            </w:r>
            <w:r w:rsidRPr="004B36C5">
              <w:t>.</w:t>
            </w:r>
          </w:p>
          <w:p w:rsidR="008423E4" w:rsidRPr="00835628" w:rsidRDefault="00D33D78" w:rsidP="00783612">
            <w:pPr>
              <w:rPr>
                <w:b/>
              </w:rPr>
            </w:pPr>
          </w:p>
        </w:tc>
      </w:tr>
      <w:tr w:rsidR="00C64BD9" w:rsidTr="00FB42EA">
        <w:tc>
          <w:tcPr>
            <w:tcW w:w="9582" w:type="dxa"/>
          </w:tcPr>
          <w:p w:rsidR="008423E4" w:rsidRPr="00A8133F" w:rsidRDefault="00D33D78" w:rsidP="007836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3D78" w:rsidP="00783612"/>
          <w:p w:rsidR="008423E4" w:rsidRPr="003624F2" w:rsidRDefault="00D33D78" w:rsidP="0078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33D78" w:rsidP="00783612">
            <w:pPr>
              <w:rPr>
                <w:b/>
              </w:rPr>
            </w:pPr>
          </w:p>
        </w:tc>
      </w:tr>
      <w:tr w:rsidR="00C64BD9" w:rsidTr="00FB42EA">
        <w:tc>
          <w:tcPr>
            <w:tcW w:w="9582" w:type="dxa"/>
          </w:tcPr>
          <w:p w:rsidR="00FB42EA" w:rsidRDefault="00D33D78" w:rsidP="00FB42E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C236E" w:rsidRDefault="00D33D78" w:rsidP="00FB42EA">
            <w:pPr>
              <w:jc w:val="both"/>
            </w:pPr>
          </w:p>
          <w:p w:rsidR="005C236E" w:rsidRDefault="00D33D78" w:rsidP="00FB42EA">
            <w:pPr>
              <w:jc w:val="both"/>
            </w:pPr>
            <w:r>
              <w:t>While C.S.H.B</w:t>
            </w:r>
            <w:r>
              <w:t xml:space="preserve">. </w:t>
            </w:r>
            <w:r>
              <w:t xml:space="preserve">256 may differ from the original in minor or nonsubstantive ways, the following comparison is </w:t>
            </w:r>
            <w:r>
              <w:t>organized and formatted in a manner that indicates the substantial differences between the introduced and committee substitute versions of the bill.</w:t>
            </w:r>
          </w:p>
          <w:p w:rsidR="005C236E" w:rsidRPr="005C236E" w:rsidRDefault="00D33D78" w:rsidP="00FB42EA">
            <w:pPr>
              <w:jc w:val="both"/>
            </w:pPr>
          </w:p>
        </w:tc>
      </w:tr>
      <w:tr w:rsidR="00C64BD9" w:rsidTr="00FB42EA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C64BD9" w:rsidTr="00FB42EA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FB42EA" w:rsidRDefault="00D33D78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FB42EA" w:rsidRDefault="00D33D7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64BD9" w:rsidTr="00FB42EA">
              <w:tc>
                <w:tcPr>
                  <w:tcW w:w="4673" w:type="dxa"/>
                  <w:tcMar>
                    <w:right w:w="360" w:type="dxa"/>
                  </w:tcMar>
                </w:tcPr>
                <w:p w:rsidR="00FB42EA" w:rsidRDefault="00D33D78">
                  <w:pPr>
                    <w:jc w:val="both"/>
                  </w:pPr>
                  <w:r>
                    <w:t>SECTION 1.  Section 101.70(b), Alcoholic Beverage Code, is amended</w:t>
                  </w:r>
                  <w:r>
                    <w:t xml:space="preserve"> to read as follows:</w:t>
                  </w:r>
                </w:p>
                <w:p w:rsidR="00DE641C" w:rsidRDefault="00D33D78">
                  <w:pPr>
                    <w:jc w:val="both"/>
                    <w:rPr>
                      <w:u w:val="single"/>
                    </w:rPr>
                  </w:pPr>
                  <w:r w:rsidRPr="00D40FC3">
                    <w:t>(b)  The county or district attorney in the county where the nuisance exists</w:t>
                  </w:r>
                  <w:r w:rsidRPr="00D40FC3">
                    <w:rPr>
                      <w:u w:val="single"/>
                    </w:rPr>
                    <w:t xml:space="preserve">, </w:t>
                  </w:r>
                </w:p>
                <w:p w:rsidR="00DE641C" w:rsidRDefault="00D33D78">
                  <w:pPr>
                    <w:jc w:val="both"/>
                  </w:pPr>
                  <w:r w:rsidRPr="00D40FC3">
                    <w:rPr>
                      <w:u w:val="single"/>
                    </w:rPr>
                    <w:t>the city attorney in the city where the nuisance exists,</w:t>
                  </w:r>
                  <w:r w:rsidRPr="00D40FC3">
                    <w:t xml:space="preserve"> or the attorney general </w:t>
                  </w:r>
                </w:p>
                <w:p w:rsidR="00FB42EA" w:rsidRDefault="00D33D78">
                  <w:pPr>
                    <w:jc w:val="both"/>
                  </w:pPr>
                  <w:r w:rsidRPr="00D40FC3">
                    <w:lastRenderedPageBreak/>
                    <w:t xml:space="preserve">may sue </w:t>
                  </w:r>
                  <w:r w:rsidRPr="00DE641C">
                    <w:rPr>
                      <w:highlight w:val="lightGray"/>
                    </w:rPr>
                    <w:t>in the name of the state</w:t>
                  </w:r>
                  <w:r w:rsidRPr="00D40FC3">
                    <w:t xml:space="preserve"> for an injunction to abate and temporaril</w:t>
                  </w:r>
                  <w:r w:rsidRPr="00D40FC3">
                    <w:t>y and permanently enjoin it.  Except as otherwise provided in this section, the proceeding is conducted as other similar proceedings.</w:t>
                  </w:r>
                </w:p>
                <w:p w:rsidR="00FB42EA" w:rsidRDefault="00D33D78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E4951" w:rsidRDefault="00D33D78" w:rsidP="00EE4951">
                  <w:pPr>
                    <w:jc w:val="both"/>
                  </w:pPr>
                  <w:r>
                    <w:lastRenderedPageBreak/>
                    <w:t>SECTION 1.  Section 101.70, Alcoholic Beverage Code, is amended by adding Subsection (b-1) to read as follows:</w:t>
                  </w:r>
                </w:p>
                <w:p w:rsidR="00DE641C" w:rsidRDefault="00D33D78" w:rsidP="00EE4951">
                  <w:pPr>
                    <w:jc w:val="both"/>
                    <w:rPr>
                      <w:u w:val="single"/>
                    </w:rPr>
                  </w:pPr>
                </w:p>
                <w:p w:rsidR="00DE641C" w:rsidRDefault="00D33D78" w:rsidP="00EE4951">
                  <w:pPr>
                    <w:jc w:val="both"/>
                    <w:rPr>
                      <w:u w:val="single"/>
                    </w:rPr>
                  </w:pPr>
                </w:p>
                <w:p w:rsidR="00DE641C" w:rsidRDefault="00D33D78" w:rsidP="00EE4951">
                  <w:pPr>
                    <w:jc w:val="both"/>
                    <w:rPr>
                      <w:u w:val="single"/>
                    </w:rPr>
                  </w:pPr>
                  <w:r w:rsidRPr="00D40FC3">
                    <w:rPr>
                      <w:u w:val="single"/>
                    </w:rPr>
                    <w:t>(b-1)  T</w:t>
                  </w:r>
                  <w:r w:rsidRPr="00D40FC3">
                    <w:rPr>
                      <w:u w:val="single"/>
                    </w:rPr>
                    <w:t xml:space="preserve">he city attorney in the city where the nuisance exists </w:t>
                  </w:r>
                </w:p>
                <w:p w:rsidR="00FB42EA" w:rsidRDefault="00D33D78" w:rsidP="00EE4951">
                  <w:pPr>
                    <w:jc w:val="both"/>
                  </w:pPr>
                  <w:r w:rsidRPr="00D40FC3">
                    <w:rPr>
                      <w:u w:val="single"/>
                    </w:rPr>
                    <w:lastRenderedPageBreak/>
                    <w:t xml:space="preserve">may sue </w:t>
                  </w:r>
                  <w:r w:rsidRPr="00DE641C">
                    <w:rPr>
                      <w:highlight w:val="lightGray"/>
                      <w:u w:val="single"/>
                    </w:rPr>
                    <w:t>in the name of the city</w:t>
                  </w:r>
                  <w:r w:rsidRPr="00D40FC3">
                    <w:rPr>
                      <w:u w:val="single"/>
                    </w:rPr>
                    <w:t xml:space="preserve"> for an injunction to abate and temporarily and permanently enjoin it.  Except as otherwise provided in this section, the proceeding is conducted as other similar procee</w:t>
                  </w:r>
                  <w:r w:rsidRPr="00D40FC3">
                    <w:rPr>
                      <w:u w:val="single"/>
                    </w:rPr>
                    <w:t>dings.</w:t>
                  </w:r>
                </w:p>
              </w:tc>
            </w:tr>
            <w:tr w:rsidR="00C64BD9" w:rsidTr="00FB42EA">
              <w:tc>
                <w:tcPr>
                  <w:tcW w:w="4673" w:type="dxa"/>
                  <w:tcMar>
                    <w:right w:w="360" w:type="dxa"/>
                  </w:tcMar>
                </w:tcPr>
                <w:p w:rsidR="00FB42EA" w:rsidRDefault="00D33D78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FB42EA" w:rsidRDefault="00D33D78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B42EA" w:rsidRDefault="00D33D78">
                  <w:pPr>
                    <w:jc w:val="both"/>
                  </w:pPr>
                  <w:r>
                    <w:t>SECTION 2. Same as introduced version.</w:t>
                  </w:r>
                </w:p>
                <w:p w:rsidR="00FB42EA" w:rsidRDefault="00D33D78">
                  <w:pPr>
                    <w:jc w:val="both"/>
                  </w:pPr>
                </w:p>
                <w:p w:rsidR="00FB42EA" w:rsidRDefault="00D33D78">
                  <w:pPr>
                    <w:jc w:val="both"/>
                  </w:pPr>
                </w:p>
              </w:tc>
            </w:tr>
          </w:tbl>
          <w:p w:rsidR="00FB42EA" w:rsidRDefault="00D33D78"/>
          <w:p w:rsidR="00FB42EA" w:rsidRPr="009C1E9A" w:rsidRDefault="00D33D78" w:rsidP="00783612">
            <w:pPr>
              <w:rPr>
                <w:b/>
                <w:u w:val="single"/>
              </w:rPr>
            </w:pPr>
          </w:p>
        </w:tc>
      </w:tr>
    </w:tbl>
    <w:p w:rsidR="008423E4" w:rsidRPr="00BE0E75" w:rsidRDefault="00D33D7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3D7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3D78">
      <w:r>
        <w:separator/>
      </w:r>
    </w:p>
  </w:endnote>
  <w:endnote w:type="continuationSeparator" w:id="0">
    <w:p w:rsidR="00000000" w:rsidRDefault="00D3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4BD9" w:rsidTr="009C1E9A">
      <w:trPr>
        <w:cantSplit/>
      </w:trPr>
      <w:tc>
        <w:tcPr>
          <w:tcW w:w="0" w:type="pct"/>
        </w:tcPr>
        <w:p w:rsidR="00137D90" w:rsidRDefault="00D33D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3D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3D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3D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3D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4BD9" w:rsidTr="009C1E9A">
      <w:trPr>
        <w:cantSplit/>
      </w:trPr>
      <w:tc>
        <w:tcPr>
          <w:tcW w:w="0" w:type="pct"/>
        </w:tcPr>
        <w:p w:rsidR="00EC379B" w:rsidRDefault="00D33D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3D7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18834</w:t>
          </w:r>
        </w:p>
      </w:tc>
      <w:tc>
        <w:tcPr>
          <w:tcW w:w="2453" w:type="pct"/>
        </w:tcPr>
        <w:p w:rsidR="00EC379B" w:rsidRDefault="00D33D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17.81.265</w:t>
          </w:r>
          <w:r>
            <w:fldChar w:fldCharType="end"/>
          </w:r>
        </w:p>
      </w:tc>
    </w:tr>
    <w:tr w:rsidR="00C64BD9" w:rsidTr="009C1E9A">
      <w:trPr>
        <w:cantSplit/>
      </w:trPr>
      <w:tc>
        <w:tcPr>
          <w:tcW w:w="0" w:type="pct"/>
        </w:tcPr>
        <w:p w:rsidR="00EC379B" w:rsidRDefault="00D33D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3D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</w:t>
          </w:r>
          <w:r>
            <w:rPr>
              <w:rFonts w:ascii="Shruti" w:hAnsi="Shruti"/>
              <w:sz w:val="22"/>
            </w:rPr>
            <w:t xml:space="preserve"> Document Number: 85R 17786</w:t>
          </w:r>
        </w:p>
      </w:tc>
      <w:tc>
        <w:tcPr>
          <w:tcW w:w="2453" w:type="pct"/>
        </w:tcPr>
        <w:p w:rsidR="00EC379B" w:rsidRDefault="00D33D78" w:rsidP="006D504F">
          <w:pPr>
            <w:pStyle w:val="Footer"/>
            <w:rPr>
              <w:rStyle w:val="PageNumber"/>
            </w:rPr>
          </w:pPr>
        </w:p>
        <w:p w:rsidR="00EC379B" w:rsidRDefault="00D33D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4B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3D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3D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3D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3D78">
      <w:r>
        <w:separator/>
      </w:r>
    </w:p>
  </w:footnote>
  <w:footnote w:type="continuationSeparator" w:id="0">
    <w:p w:rsidR="00000000" w:rsidRDefault="00D3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D9"/>
    <w:rsid w:val="00C64BD9"/>
    <w:rsid w:val="00D3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D7B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7B88"/>
  </w:style>
  <w:style w:type="paragraph" w:styleId="CommentSubject">
    <w:name w:val="annotation subject"/>
    <w:basedOn w:val="CommentText"/>
    <w:next w:val="CommentText"/>
    <w:link w:val="CommentSubjectChar"/>
    <w:rsid w:val="008D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7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D7B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7B88"/>
  </w:style>
  <w:style w:type="paragraph" w:styleId="CommentSubject">
    <w:name w:val="annotation subject"/>
    <w:basedOn w:val="CommentText"/>
    <w:next w:val="CommentText"/>
    <w:link w:val="CommentSubjectChar"/>
    <w:rsid w:val="008D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7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2169</Characters>
  <Application>Microsoft Office Word</Application>
  <DocSecurity>4</DocSecurity>
  <Lines>82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HB00256 (Committee Report (Substituted))</vt:lpstr>
    </vt:vector>
  </TitlesOfParts>
  <Company>State of Texas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18834</dc:subject>
  <dc:creator>State of Texas</dc:creator>
  <dc:description>HB 256 by Hernandez-(H)Judiciary &amp; Civil Jurisprudence (Substitute Document Number: 85R 17786)</dc:description>
  <cp:lastModifiedBy>Damian Duarte</cp:lastModifiedBy>
  <cp:revision>2</cp:revision>
  <cp:lastPrinted>2017-03-22T16:38:00Z</cp:lastPrinted>
  <dcterms:created xsi:type="dcterms:W3CDTF">2017-03-23T22:26:00Z</dcterms:created>
  <dcterms:modified xsi:type="dcterms:W3CDTF">2017-03-23T22:26:00Z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17.81.265</vt:lpwstr>
  </property>
</Properties>
</file>