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2A43" w:rsidTr="00345119">
        <w:tc>
          <w:tcPr>
            <w:tcW w:w="9576" w:type="dxa"/>
            <w:noWrap/>
          </w:tcPr>
          <w:p w:rsidR="008423E4" w:rsidRPr="0022177D" w:rsidRDefault="000B45CF" w:rsidP="00345119">
            <w:pPr>
              <w:pStyle w:val="Heading1"/>
            </w:pPr>
            <w:bookmarkStart w:id="0" w:name="_GoBack"/>
            <w:bookmarkEnd w:id="0"/>
            <w:r w:rsidRPr="00631897">
              <w:t>BILL ANALYSIS</w:t>
            </w:r>
          </w:p>
        </w:tc>
      </w:tr>
    </w:tbl>
    <w:p w:rsidR="008423E4" w:rsidRPr="0022177D" w:rsidRDefault="000B45CF" w:rsidP="008423E4">
      <w:pPr>
        <w:jc w:val="center"/>
      </w:pPr>
    </w:p>
    <w:p w:rsidR="008423E4" w:rsidRPr="00B31F0E" w:rsidRDefault="000B45CF" w:rsidP="008423E4"/>
    <w:p w:rsidR="008423E4" w:rsidRPr="00742794" w:rsidRDefault="000B45CF" w:rsidP="008423E4">
      <w:pPr>
        <w:tabs>
          <w:tab w:val="right" w:pos="9360"/>
        </w:tabs>
      </w:pPr>
    </w:p>
    <w:tbl>
      <w:tblPr>
        <w:tblW w:w="0" w:type="auto"/>
        <w:tblLayout w:type="fixed"/>
        <w:tblLook w:val="01E0" w:firstRow="1" w:lastRow="1" w:firstColumn="1" w:lastColumn="1" w:noHBand="0" w:noVBand="0"/>
      </w:tblPr>
      <w:tblGrid>
        <w:gridCol w:w="9576"/>
      </w:tblGrid>
      <w:tr w:rsidR="004E2A43" w:rsidTr="00345119">
        <w:tc>
          <w:tcPr>
            <w:tcW w:w="9576" w:type="dxa"/>
          </w:tcPr>
          <w:p w:rsidR="008423E4" w:rsidRPr="00861995" w:rsidRDefault="000B45CF" w:rsidP="00345119">
            <w:pPr>
              <w:jc w:val="right"/>
            </w:pPr>
            <w:r>
              <w:t>H.B. 283</w:t>
            </w:r>
          </w:p>
        </w:tc>
      </w:tr>
      <w:tr w:rsidR="004E2A43" w:rsidTr="00345119">
        <w:tc>
          <w:tcPr>
            <w:tcW w:w="9576" w:type="dxa"/>
          </w:tcPr>
          <w:p w:rsidR="008423E4" w:rsidRPr="00861995" w:rsidRDefault="000B45CF" w:rsidP="00A84436">
            <w:pPr>
              <w:jc w:val="right"/>
            </w:pPr>
            <w:r>
              <w:t xml:space="preserve">By: </w:t>
            </w:r>
            <w:r>
              <w:t>Herrero</w:t>
            </w:r>
          </w:p>
        </w:tc>
      </w:tr>
      <w:tr w:rsidR="004E2A43" w:rsidTr="00345119">
        <w:tc>
          <w:tcPr>
            <w:tcW w:w="9576" w:type="dxa"/>
          </w:tcPr>
          <w:p w:rsidR="008423E4" w:rsidRPr="00861995" w:rsidRDefault="000B45CF" w:rsidP="00345119">
            <w:pPr>
              <w:jc w:val="right"/>
            </w:pPr>
            <w:r>
              <w:t>Public Health</w:t>
            </w:r>
          </w:p>
        </w:tc>
      </w:tr>
      <w:tr w:rsidR="004E2A43" w:rsidTr="00345119">
        <w:tc>
          <w:tcPr>
            <w:tcW w:w="9576" w:type="dxa"/>
          </w:tcPr>
          <w:p w:rsidR="008423E4" w:rsidRDefault="000B45CF" w:rsidP="00345119">
            <w:pPr>
              <w:jc w:val="right"/>
            </w:pPr>
            <w:r>
              <w:t>Committee Report (Unamended)</w:t>
            </w:r>
          </w:p>
        </w:tc>
      </w:tr>
    </w:tbl>
    <w:p w:rsidR="008423E4" w:rsidRDefault="000B45CF" w:rsidP="008423E4">
      <w:pPr>
        <w:tabs>
          <w:tab w:val="right" w:pos="9360"/>
        </w:tabs>
      </w:pPr>
    </w:p>
    <w:p w:rsidR="008423E4" w:rsidRDefault="000B45CF" w:rsidP="008423E4"/>
    <w:p w:rsidR="008423E4" w:rsidRDefault="000B45CF" w:rsidP="008423E4"/>
    <w:tbl>
      <w:tblPr>
        <w:tblW w:w="0" w:type="auto"/>
        <w:tblCellMar>
          <w:left w:w="115" w:type="dxa"/>
          <w:right w:w="115" w:type="dxa"/>
        </w:tblCellMar>
        <w:tblLook w:val="01E0" w:firstRow="1" w:lastRow="1" w:firstColumn="1" w:lastColumn="1" w:noHBand="0" w:noVBand="0"/>
      </w:tblPr>
      <w:tblGrid>
        <w:gridCol w:w="9576"/>
      </w:tblGrid>
      <w:tr w:rsidR="004E2A43" w:rsidTr="00345119">
        <w:tc>
          <w:tcPr>
            <w:tcW w:w="9576" w:type="dxa"/>
          </w:tcPr>
          <w:p w:rsidR="008423E4" w:rsidRPr="00A8133F" w:rsidRDefault="000B45CF" w:rsidP="000C6EF9">
            <w:pPr>
              <w:rPr>
                <w:b/>
              </w:rPr>
            </w:pPr>
            <w:r w:rsidRPr="009C1E9A">
              <w:rPr>
                <w:b/>
                <w:u w:val="single"/>
              </w:rPr>
              <w:t>BACKGROUND AND PURPOSE</w:t>
            </w:r>
            <w:r>
              <w:rPr>
                <w:b/>
              </w:rPr>
              <w:t xml:space="preserve"> </w:t>
            </w:r>
          </w:p>
          <w:p w:rsidR="008423E4" w:rsidRDefault="000B45CF" w:rsidP="000C6EF9"/>
          <w:p w:rsidR="008423E4" w:rsidRPr="00E26B13" w:rsidRDefault="000B45CF" w:rsidP="000C6EF9">
            <w:pPr>
              <w:pStyle w:val="Header"/>
              <w:tabs>
                <w:tab w:val="clear" w:pos="4320"/>
                <w:tab w:val="clear" w:pos="8640"/>
              </w:tabs>
              <w:jc w:val="both"/>
              <w:rPr>
                <w:b/>
              </w:rPr>
            </w:pPr>
            <w:r>
              <w:t xml:space="preserve">Interested parties note that service members </w:t>
            </w:r>
            <w:r>
              <w:t xml:space="preserve">and veterans </w:t>
            </w:r>
            <w:r>
              <w:t xml:space="preserve">who served in </w:t>
            </w:r>
            <w:r>
              <w:t>certain</w:t>
            </w:r>
            <w:r>
              <w:t xml:space="preserve"> conflicts abroad may have been exposed to open air burn pit smoke or other airborne hazards during their service. </w:t>
            </w:r>
            <w:r>
              <w:t xml:space="preserve">Concerns have been raised regarding the level of </w:t>
            </w:r>
            <w:r>
              <w:t>outreach</w:t>
            </w:r>
            <w:r>
              <w:t xml:space="preserve"> to such service members and</w:t>
            </w:r>
            <w:r>
              <w:t xml:space="preserve"> veterans </w:t>
            </w:r>
            <w:r>
              <w:t xml:space="preserve">regarding </w:t>
            </w:r>
            <w:r>
              <w:t xml:space="preserve">resources </w:t>
            </w:r>
            <w:r>
              <w:t>that may be</w:t>
            </w:r>
            <w:r>
              <w:t xml:space="preserve"> available to t</w:t>
            </w:r>
            <w:r>
              <w:t xml:space="preserve">hem. H.B. 283 </w:t>
            </w:r>
            <w:r>
              <w:t xml:space="preserve">seeks to </w:t>
            </w:r>
            <w:r>
              <w:t>facilitate outreach</w:t>
            </w:r>
            <w:r>
              <w:t xml:space="preserve"> and</w:t>
            </w:r>
            <w:r>
              <w:t xml:space="preserve"> education related to health concerns as a result of exposure to </w:t>
            </w:r>
            <w:r>
              <w:t xml:space="preserve">open </w:t>
            </w:r>
            <w:r>
              <w:t>burn pit smoke or other airborne hazards</w:t>
            </w:r>
            <w:r>
              <w:t xml:space="preserve"> by providing for an open burn pit registry</w:t>
            </w:r>
            <w:r>
              <w:t xml:space="preserve">. </w:t>
            </w:r>
          </w:p>
        </w:tc>
      </w:tr>
      <w:tr w:rsidR="004E2A43" w:rsidTr="00345119">
        <w:tc>
          <w:tcPr>
            <w:tcW w:w="9576" w:type="dxa"/>
          </w:tcPr>
          <w:p w:rsidR="000C6EF9" w:rsidRDefault="000B45CF" w:rsidP="000C6EF9">
            <w:pPr>
              <w:rPr>
                <w:b/>
                <w:u w:val="single"/>
              </w:rPr>
            </w:pPr>
          </w:p>
          <w:p w:rsidR="0017725B" w:rsidRDefault="000B45CF" w:rsidP="000C6EF9">
            <w:pPr>
              <w:rPr>
                <w:b/>
                <w:u w:val="single"/>
              </w:rPr>
            </w:pPr>
            <w:r>
              <w:rPr>
                <w:b/>
                <w:u w:val="single"/>
              </w:rPr>
              <w:t>CRIMINAL JUSTICE IMPACT</w:t>
            </w:r>
          </w:p>
          <w:p w:rsidR="0017725B" w:rsidRDefault="000B45CF" w:rsidP="000C6EF9">
            <w:pPr>
              <w:rPr>
                <w:b/>
                <w:u w:val="single"/>
              </w:rPr>
            </w:pPr>
          </w:p>
          <w:p w:rsidR="003C722B" w:rsidRPr="003C722B" w:rsidRDefault="000B45CF" w:rsidP="000C6EF9">
            <w:pPr>
              <w:jc w:val="both"/>
            </w:pPr>
            <w:r>
              <w:t>It is the committee's opini</w:t>
            </w:r>
            <w:r>
              <w:t>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B45CF" w:rsidP="000C6EF9">
            <w:pPr>
              <w:rPr>
                <w:b/>
                <w:u w:val="single"/>
              </w:rPr>
            </w:pPr>
          </w:p>
        </w:tc>
      </w:tr>
      <w:tr w:rsidR="004E2A43" w:rsidTr="00345119">
        <w:tc>
          <w:tcPr>
            <w:tcW w:w="9576" w:type="dxa"/>
          </w:tcPr>
          <w:p w:rsidR="008423E4" w:rsidRPr="00A8133F" w:rsidRDefault="000B45CF" w:rsidP="000C6EF9">
            <w:pPr>
              <w:rPr>
                <w:b/>
              </w:rPr>
            </w:pPr>
            <w:r w:rsidRPr="009C1E9A">
              <w:rPr>
                <w:b/>
                <w:u w:val="single"/>
              </w:rPr>
              <w:t>RULEMAKING AUTHORITY</w:t>
            </w:r>
            <w:r>
              <w:rPr>
                <w:b/>
              </w:rPr>
              <w:t xml:space="preserve"> </w:t>
            </w:r>
          </w:p>
          <w:p w:rsidR="008423E4" w:rsidRDefault="000B45CF" w:rsidP="000C6EF9"/>
          <w:p w:rsidR="00825C95" w:rsidRDefault="000B45CF" w:rsidP="000C6EF9">
            <w:pPr>
              <w:pStyle w:val="Header"/>
              <w:tabs>
                <w:tab w:val="clear" w:pos="4320"/>
                <w:tab w:val="clear" w:pos="8640"/>
              </w:tabs>
              <w:jc w:val="both"/>
            </w:pPr>
            <w:r>
              <w:t xml:space="preserve">It is the committee's opinion that rulemaking authority is expressly granted to the </w:t>
            </w:r>
            <w:r w:rsidRPr="00825C95">
              <w:t>executive commissioner of the Health and Human Services Commission</w:t>
            </w:r>
            <w:r>
              <w:t xml:space="preserve"> in SECTION 2 of this bill.</w:t>
            </w:r>
          </w:p>
          <w:p w:rsidR="008423E4" w:rsidRPr="00E21FDC" w:rsidRDefault="000B45CF" w:rsidP="000C6EF9">
            <w:pPr>
              <w:rPr>
                <w:b/>
              </w:rPr>
            </w:pPr>
          </w:p>
        </w:tc>
      </w:tr>
      <w:tr w:rsidR="004E2A43" w:rsidTr="00345119">
        <w:tc>
          <w:tcPr>
            <w:tcW w:w="9576" w:type="dxa"/>
          </w:tcPr>
          <w:p w:rsidR="008423E4" w:rsidRPr="00A8133F" w:rsidRDefault="000B45CF" w:rsidP="000C6EF9">
            <w:pPr>
              <w:rPr>
                <w:b/>
              </w:rPr>
            </w:pPr>
            <w:r w:rsidRPr="009C1E9A">
              <w:rPr>
                <w:b/>
                <w:u w:val="single"/>
              </w:rPr>
              <w:t>ANALYSIS</w:t>
            </w:r>
            <w:r>
              <w:rPr>
                <w:b/>
              </w:rPr>
              <w:t xml:space="preserve"> </w:t>
            </w:r>
          </w:p>
          <w:p w:rsidR="008423E4" w:rsidRDefault="000B45CF" w:rsidP="000C6EF9"/>
          <w:p w:rsidR="0099188B" w:rsidRDefault="000B45CF" w:rsidP="000C6EF9">
            <w:pPr>
              <w:pStyle w:val="Header"/>
              <w:tabs>
                <w:tab w:val="clear" w:pos="4320"/>
                <w:tab w:val="clear" w:pos="8640"/>
              </w:tabs>
              <w:jc w:val="both"/>
            </w:pPr>
            <w:r>
              <w:t xml:space="preserve">H.B. 283 amends the </w:t>
            </w:r>
            <w:r w:rsidRPr="0035773A">
              <w:t>Health and Safety Code</w:t>
            </w:r>
            <w:r>
              <w:t xml:space="preserve"> to</w:t>
            </w:r>
            <w:r>
              <w:t xml:space="preserve"> require </w:t>
            </w:r>
            <w:r w:rsidRPr="00063A7B">
              <w:t xml:space="preserve">the Department of State Health Services (DSHS) </w:t>
            </w:r>
            <w:r>
              <w:t>to</w:t>
            </w:r>
            <w:r w:rsidRPr="00063A7B">
              <w:t xml:space="preserve"> create and maintain an open burn pit registry of service members and veterans who were exposed to open burn pit smoke or other airborne hazards during their military service</w:t>
            </w:r>
            <w:r>
              <w:t xml:space="preserve"> </w:t>
            </w:r>
            <w:r>
              <w:t>in</w:t>
            </w:r>
            <w:r>
              <w:t xml:space="preserve"> </w:t>
            </w:r>
            <w:r>
              <w:t>specified conflic</w:t>
            </w:r>
            <w:r>
              <w:t>ts or theaters</w:t>
            </w:r>
            <w:r>
              <w:t>.</w:t>
            </w:r>
            <w:r>
              <w:t xml:space="preserve"> </w:t>
            </w:r>
            <w:r>
              <w:t>The bill</w:t>
            </w:r>
            <w:r w:rsidRPr="008129B1">
              <w:t xml:space="preserve"> authorizes </w:t>
            </w:r>
            <w:r>
              <w:t>such a service member or</w:t>
            </w:r>
            <w:r w:rsidRPr="008129B1">
              <w:t xml:space="preserve"> veteran, or a family member of that service member or veteran</w:t>
            </w:r>
            <w:r>
              <w:t>,</w:t>
            </w:r>
            <w:r w:rsidRPr="008129B1">
              <w:t xml:space="preserve"> to voluntarily register a case of exposure to open burn pit smoke or other airborne hazards with DSHS for inclusion in the registry.</w:t>
            </w:r>
            <w:r w:rsidRPr="008129B1">
              <w:t xml:space="preserve"> </w:t>
            </w:r>
            <w:r>
              <w:t xml:space="preserve">The bill requires </w:t>
            </w:r>
            <w:r w:rsidRPr="0099188B">
              <w:t>DSHS</w:t>
            </w:r>
            <w:r>
              <w:t xml:space="preserve"> to </w:t>
            </w:r>
            <w:r w:rsidRPr="0099188B">
              <w:t>include for each entr</w:t>
            </w:r>
            <w:r>
              <w:t xml:space="preserve">y in the open burn pit registry the service member's or veteran's name, address, phone number, and electronic address; the location of the service member's or veteran's service and the period of service; any </w:t>
            </w:r>
            <w:r>
              <w:t xml:space="preserve">medical condition or death of the service member or veteran that may be related to exposure to open burn pit smoke or other airborne hazards; and any other information that </w:t>
            </w:r>
            <w:r w:rsidRPr="0099188B">
              <w:t xml:space="preserve">DSHS </w:t>
            </w:r>
            <w:r>
              <w:t xml:space="preserve">or the U.S. Department of Veterans Affairs </w:t>
            </w:r>
            <w:r>
              <w:t xml:space="preserve">(VA) </w:t>
            </w:r>
            <w:r>
              <w:t xml:space="preserve">considers necessary. The bill </w:t>
            </w:r>
            <w:r>
              <w:t xml:space="preserve">requires </w:t>
            </w:r>
            <w:r w:rsidRPr="0099188B">
              <w:t>DSHS</w:t>
            </w:r>
            <w:r>
              <w:t xml:space="preserve"> to share the information included in the open burn pit registry with the </w:t>
            </w:r>
            <w:r>
              <w:t>federal VA</w:t>
            </w:r>
            <w:r>
              <w:t xml:space="preserve"> Airborne Hazards and Open Burn Pit Registry and</w:t>
            </w:r>
            <w:r>
              <w:t xml:space="preserve"> to</w:t>
            </w:r>
            <w:r>
              <w:t xml:space="preserve"> electronically l</w:t>
            </w:r>
            <w:r>
              <w:t>ink the open burn pit registry</w:t>
            </w:r>
            <w:r>
              <w:t xml:space="preserve"> with the federal registry.</w:t>
            </w:r>
            <w:r>
              <w:t xml:space="preserve"> </w:t>
            </w:r>
            <w:r>
              <w:t>The bill</w:t>
            </w:r>
            <w:r>
              <w:t xml:space="preserve"> </w:t>
            </w:r>
            <w:r>
              <w:t>makes</w:t>
            </w:r>
            <w:r>
              <w:t xml:space="preserve"> e</w:t>
            </w:r>
            <w:r w:rsidRPr="0099188B">
              <w:t xml:space="preserve">ntries </w:t>
            </w:r>
            <w:r>
              <w:t xml:space="preserve">in </w:t>
            </w:r>
            <w:r w:rsidRPr="0099188B">
              <w:t>and inf</w:t>
            </w:r>
            <w:r w:rsidRPr="0099188B">
              <w:t xml:space="preserve">ormation obtained </w:t>
            </w:r>
            <w:r>
              <w:t xml:space="preserve">for the </w:t>
            </w:r>
            <w:r w:rsidRPr="00570574">
              <w:t xml:space="preserve">open burn pit registry </w:t>
            </w:r>
            <w:r w:rsidRPr="0099188B">
              <w:t>confidential</w:t>
            </w:r>
            <w:r>
              <w:t xml:space="preserve"> and</w:t>
            </w:r>
            <w:r w:rsidRPr="0099188B">
              <w:t xml:space="preserve"> </w:t>
            </w:r>
            <w:r>
              <w:t>exempt</w:t>
            </w:r>
            <w:r w:rsidRPr="00570574">
              <w:t xml:space="preserve"> from </w:t>
            </w:r>
            <w:r>
              <w:t xml:space="preserve">disclosure under </w:t>
            </w:r>
            <w:r w:rsidRPr="00570574">
              <w:t>state public information law</w:t>
            </w:r>
            <w:r>
              <w:t>.</w:t>
            </w:r>
            <w:r>
              <w:t xml:space="preserve"> </w:t>
            </w:r>
            <w:r>
              <w:t xml:space="preserve">Those entries and </w:t>
            </w:r>
            <w:r>
              <w:t xml:space="preserve">that </w:t>
            </w:r>
            <w:r>
              <w:t xml:space="preserve">information are </w:t>
            </w:r>
            <w:r w:rsidRPr="0099188B">
              <w:t xml:space="preserve">not subject to subpoena and </w:t>
            </w:r>
            <w:r>
              <w:t xml:space="preserve">are otherwise </w:t>
            </w:r>
            <w:r>
              <w:t xml:space="preserve">prohibited from public release </w:t>
            </w:r>
            <w:r w:rsidRPr="0099188B">
              <w:t xml:space="preserve">except as provided by </w:t>
            </w:r>
            <w:r>
              <w:t>the bill.</w:t>
            </w:r>
          </w:p>
          <w:p w:rsidR="00142CE2" w:rsidRDefault="000B45CF" w:rsidP="000C6EF9">
            <w:pPr>
              <w:pStyle w:val="Header"/>
              <w:tabs>
                <w:tab w:val="clear" w:pos="4320"/>
                <w:tab w:val="clear" w:pos="8640"/>
              </w:tabs>
              <w:jc w:val="both"/>
            </w:pPr>
          </w:p>
          <w:p w:rsidR="00142CE2" w:rsidRDefault="000B45CF" w:rsidP="000C6EF9">
            <w:pPr>
              <w:pStyle w:val="Header"/>
              <w:jc w:val="both"/>
            </w:pPr>
            <w:r w:rsidRPr="00142CE2">
              <w:t>H.B. 283</w:t>
            </w:r>
            <w:r>
              <w:t xml:space="preserve"> requires </w:t>
            </w:r>
            <w:r w:rsidRPr="00142CE2">
              <w:t>DSHS</w:t>
            </w:r>
            <w:r>
              <w:t xml:space="preserve">, with the assistance of the Texas Veterans Commission, to develop and include on </w:t>
            </w:r>
            <w:r>
              <w:t xml:space="preserve">the DSHS </w:t>
            </w:r>
            <w:r>
              <w:t>website</w:t>
            </w:r>
            <w:r>
              <w:t xml:space="preserve"> certain </w:t>
            </w:r>
            <w:r>
              <w:t xml:space="preserve">information </w:t>
            </w:r>
            <w:r>
              <w:t>relating to</w:t>
            </w:r>
            <w:r>
              <w:t xml:space="preserve"> registration and use of the </w:t>
            </w:r>
            <w:r w:rsidRPr="009F642D">
              <w:t>DSHS</w:t>
            </w:r>
            <w:r>
              <w:t xml:space="preserve"> </w:t>
            </w:r>
            <w:r>
              <w:t xml:space="preserve">open burn pit registry and the </w:t>
            </w:r>
            <w:r>
              <w:t>federa</w:t>
            </w:r>
            <w:r>
              <w:t>l VA</w:t>
            </w:r>
            <w:r>
              <w:t xml:space="preserve"> Airborne Hazards and Open Burn Pit Registry</w:t>
            </w:r>
            <w:r>
              <w:t>; the</w:t>
            </w:r>
            <w:r>
              <w:t xml:space="preserve"> health effects of exposure to open burn pit smoke and other airborne hazards</w:t>
            </w:r>
            <w:r>
              <w:t xml:space="preserve">, </w:t>
            </w:r>
            <w:r>
              <w:t>illness</w:t>
            </w:r>
            <w:r>
              <w:t>es</w:t>
            </w:r>
            <w:r>
              <w:t>,</w:t>
            </w:r>
            <w:r>
              <w:t xml:space="preserve"> or condition</w:t>
            </w:r>
            <w:r>
              <w:t>s</w:t>
            </w:r>
            <w:r>
              <w:t xml:space="preserve"> presumed to be caused by </w:t>
            </w:r>
            <w:r>
              <w:t xml:space="preserve">such </w:t>
            </w:r>
            <w:r>
              <w:t>exposure</w:t>
            </w:r>
            <w:r>
              <w:t xml:space="preserve">, and </w:t>
            </w:r>
            <w:r>
              <w:t xml:space="preserve">the </w:t>
            </w:r>
            <w:r>
              <w:t xml:space="preserve">availability of </w:t>
            </w:r>
            <w:r>
              <w:t xml:space="preserve">related </w:t>
            </w:r>
            <w:r>
              <w:t xml:space="preserve">treatment; </w:t>
            </w:r>
            <w:r>
              <w:t xml:space="preserve">the </w:t>
            </w:r>
            <w:r>
              <w:lastRenderedPageBreak/>
              <w:t xml:space="preserve">process for </w:t>
            </w:r>
            <w:r>
              <w:t xml:space="preserve">applying to the </w:t>
            </w:r>
            <w:r>
              <w:t>VA</w:t>
            </w:r>
            <w:r>
              <w:t xml:space="preserve"> for service-related disability compensation for </w:t>
            </w:r>
            <w:r>
              <w:t xml:space="preserve">such </w:t>
            </w:r>
            <w:r>
              <w:t xml:space="preserve">an illness or condition; and </w:t>
            </w:r>
            <w:r>
              <w:t xml:space="preserve">the </w:t>
            </w:r>
            <w:r>
              <w:t xml:space="preserve">manner of appealing to the </w:t>
            </w:r>
            <w:r>
              <w:t>VA</w:t>
            </w:r>
            <w:r>
              <w:t xml:space="preserve"> an existing service-related disability rating decision or requesting an increased service-related disability rating based</w:t>
            </w:r>
            <w:r>
              <w:t xml:space="preserve"> on </w:t>
            </w:r>
            <w:r>
              <w:t xml:space="preserve">such </w:t>
            </w:r>
            <w:r>
              <w:t>an illness or condition.</w:t>
            </w:r>
          </w:p>
          <w:p w:rsidR="0086304F" w:rsidRDefault="000B45CF" w:rsidP="000C6EF9">
            <w:pPr>
              <w:pStyle w:val="Header"/>
              <w:jc w:val="both"/>
            </w:pPr>
          </w:p>
          <w:p w:rsidR="0086304F" w:rsidRDefault="000B45CF" w:rsidP="000C6EF9">
            <w:pPr>
              <w:pStyle w:val="Header"/>
              <w:jc w:val="both"/>
            </w:pPr>
            <w:r w:rsidRPr="00142CE2">
              <w:t>H.B. 283 requires</w:t>
            </w:r>
            <w:r>
              <w:t xml:space="preserve"> </w:t>
            </w:r>
            <w:r w:rsidRPr="00142CE2">
              <w:t>DSHS</w:t>
            </w:r>
            <w:r>
              <w:t xml:space="preserve"> to submit a report to the appropriate standing committees of the legislature</w:t>
            </w:r>
            <w:r>
              <w:t>, not later than December 1 of each even-numbered year following the creation of the registry,</w:t>
            </w:r>
            <w:r>
              <w:t xml:space="preserve"> that includes an assessment</w:t>
            </w:r>
            <w:r>
              <w:t xml:space="preserve"> of the effectiveness of collection and maintenance of information on the health effects of exposure to open burn pit smoke and other airborne hazards, and any recommendation to improve the collection and maintenance of information about the health effects</w:t>
            </w:r>
            <w:r>
              <w:t xml:space="preserve"> of exposure to open burn pit smoke and other airborne hazards. The bill requires </w:t>
            </w:r>
            <w:r w:rsidRPr="00142CE2">
              <w:t>DSHS</w:t>
            </w:r>
            <w:r>
              <w:t xml:space="preserve"> to submit an </w:t>
            </w:r>
            <w:r w:rsidRPr="00142CE2">
              <w:t>initial report</w:t>
            </w:r>
            <w:r>
              <w:t xml:space="preserve"> not later than</w:t>
            </w:r>
            <w:r>
              <w:t xml:space="preserve"> </w:t>
            </w:r>
            <w:r w:rsidRPr="00142CE2">
              <w:t>December 1, 2018</w:t>
            </w:r>
            <w:r>
              <w:t>.</w:t>
            </w:r>
          </w:p>
          <w:p w:rsidR="00063A7B" w:rsidRDefault="000B45CF" w:rsidP="000C6EF9">
            <w:pPr>
              <w:pStyle w:val="Header"/>
              <w:tabs>
                <w:tab w:val="clear" w:pos="4320"/>
                <w:tab w:val="clear" w:pos="8640"/>
              </w:tabs>
              <w:jc w:val="both"/>
            </w:pPr>
          </w:p>
          <w:p w:rsidR="00142CE2" w:rsidRDefault="000B45CF" w:rsidP="000C6EF9">
            <w:pPr>
              <w:pStyle w:val="Header"/>
              <w:jc w:val="both"/>
            </w:pPr>
            <w:r w:rsidRPr="0099188B">
              <w:t>H.B. 283</w:t>
            </w:r>
            <w:r>
              <w:t xml:space="preserve"> requires the</w:t>
            </w:r>
            <w:r w:rsidRPr="0035773A">
              <w:t xml:space="preserve"> </w:t>
            </w:r>
            <w:r w:rsidRPr="00825C95">
              <w:t>executive commissioner of the Health and Human Services Commission</w:t>
            </w:r>
            <w:r>
              <w:t xml:space="preserve">, not later than </w:t>
            </w:r>
            <w:r>
              <w:t>March 1, 2018,</w:t>
            </w:r>
            <w:r>
              <w:t xml:space="preserve"> to</w:t>
            </w:r>
            <w:r w:rsidRPr="0035773A">
              <w:t xml:space="preserve"> adopt the</w:t>
            </w:r>
            <w:r>
              <w:t xml:space="preserve"> rules </w:t>
            </w:r>
            <w:r>
              <w:t xml:space="preserve">and </w:t>
            </w:r>
            <w:r>
              <w:t xml:space="preserve">to </w:t>
            </w:r>
            <w:r w:rsidRPr="0035773A">
              <w:t>enter into a</w:t>
            </w:r>
            <w:r>
              <w:t>ny</w:t>
            </w:r>
            <w:r w:rsidRPr="0035773A">
              <w:t xml:space="preserve"> memorandum of understanding with the </w:t>
            </w:r>
            <w:r>
              <w:t>VA</w:t>
            </w:r>
            <w:r>
              <w:t xml:space="preserve"> </w:t>
            </w:r>
            <w:r>
              <w:t>necessary to administer the bill</w:t>
            </w:r>
            <w:r>
              <w:t>'s provisions</w:t>
            </w:r>
            <w:r>
              <w:t>.</w:t>
            </w:r>
          </w:p>
          <w:p w:rsidR="008423E4" w:rsidRPr="00835628" w:rsidRDefault="000B45CF" w:rsidP="000C6EF9">
            <w:pPr>
              <w:rPr>
                <w:b/>
              </w:rPr>
            </w:pPr>
          </w:p>
        </w:tc>
      </w:tr>
      <w:tr w:rsidR="004E2A43" w:rsidTr="00345119">
        <w:tc>
          <w:tcPr>
            <w:tcW w:w="9576" w:type="dxa"/>
          </w:tcPr>
          <w:p w:rsidR="008423E4" w:rsidRPr="00A8133F" w:rsidRDefault="000B45CF" w:rsidP="000C6EF9">
            <w:pPr>
              <w:rPr>
                <w:b/>
              </w:rPr>
            </w:pPr>
            <w:r w:rsidRPr="009C1E9A">
              <w:rPr>
                <w:b/>
                <w:u w:val="single"/>
              </w:rPr>
              <w:lastRenderedPageBreak/>
              <w:t>EFFECTIVE DATE</w:t>
            </w:r>
            <w:r>
              <w:rPr>
                <w:b/>
              </w:rPr>
              <w:t xml:space="preserve"> </w:t>
            </w:r>
          </w:p>
          <w:p w:rsidR="008423E4" w:rsidRDefault="000B45CF" w:rsidP="000C6EF9"/>
          <w:p w:rsidR="008423E4" w:rsidRPr="003624F2" w:rsidRDefault="000B45CF" w:rsidP="000C6EF9">
            <w:pPr>
              <w:pStyle w:val="Header"/>
              <w:tabs>
                <w:tab w:val="clear" w:pos="4320"/>
                <w:tab w:val="clear" w:pos="8640"/>
              </w:tabs>
              <w:jc w:val="both"/>
            </w:pPr>
            <w:r>
              <w:t>September 1, 2017.</w:t>
            </w:r>
          </w:p>
          <w:p w:rsidR="008423E4" w:rsidRPr="00233FDB" w:rsidRDefault="000B45CF" w:rsidP="000C6EF9">
            <w:pPr>
              <w:rPr>
                <w:b/>
              </w:rPr>
            </w:pPr>
          </w:p>
        </w:tc>
      </w:tr>
    </w:tbl>
    <w:p w:rsidR="008423E4" w:rsidRPr="00644952" w:rsidRDefault="000B45CF" w:rsidP="008423E4">
      <w:pPr>
        <w:spacing w:line="480" w:lineRule="auto"/>
        <w:jc w:val="both"/>
        <w:rPr>
          <w:rFonts w:ascii="Arial" w:hAnsi="Arial"/>
          <w:sz w:val="2"/>
          <w:szCs w:val="2"/>
        </w:rPr>
      </w:pPr>
    </w:p>
    <w:p w:rsidR="004108C3" w:rsidRPr="00644952" w:rsidRDefault="000B45CF" w:rsidP="008423E4">
      <w:pPr>
        <w:rPr>
          <w:sz w:val="2"/>
          <w:szCs w:val="2"/>
        </w:rPr>
      </w:pPr>
    </w:p>
    <w:sectPr w:rsidR="004108C3" w:rsidRPr="00644952"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45CF">
      <w:r>
        <w:separator/>
      </w:r>
    </w:p>
  </w:endnote>
  <w:endnote w:type="continuationSeparator" w:id="0">
    <w:p w:rsidR="00000000" w:rsidRDefault="000B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2A43" w:rsidTr="009C1E9A">
      <w:trPr>
        <w:cantSplit/>
      </w:trPr>
      <w:tc>
        <w:tcPr>
          <w:tcW w:w="0" w:type="pct"/>
        </w:tcPr>
        <w:p w:rsidR="00137D90" w:rsidRDefault="000B45CF" w:rsidP="009C1E9A">
          <w:pPr>
            <w:pStyle w:val="Footer"/>
            <w:tabs>
              <w:tab w:val="clear" w:pos="8640"/>
              <w:tab w:val="right" w:pos="9360"/>
            </w:tabs>
          </w:pPr>
        </w:p>
      </w:tc>
      <w:tc>
        <w:tcPr>
          <w:tcW w:w="2395" w:type="pct"/>
        </w:tcPr>
        <w:p w:rsidR="00137D90" w:rsidRDefault="000B45CF" w:rsidP="009C1E9A">
          <w:pPr>
            <w:pStyle w:val="Footer"/>
            <w:tabs>
              <w:tab w:val="clear" w:pos="8640"/>
              <w:tab w:val="right" w:pos="9360"/>
            </w:tabs>
          </w:pPr>
        </w:p>
        <w:p w:rsidR="001A4310" w:rsidRDefault="000B45CF" w:rsidP="009C1E9A">
          <w:pPr>
            <w:pStyle w:val="Footer"/>
            <w:tabs>
              <w:tab w:val="clear" w:pos="8640"/>
              <w:tab w:val="right" w:pos="9360"/>
            </w:tabs>
          </w:pPr>
        </w:p>
        <w:p w:rsidR="00137D90" w:rsidRDefault="000B45CF" w:rsidP="009C1E9A">
          <w:pPr>
            <w:pStyle w:val="Footer"/>
            <w:tabs>
              <w:tab w:val="clear" w:pos="8640"/>
              <w:tab w:val="right" w:pos="9360"/>
            </w:tabs>
          </w:pPr>
        </w:p>
      </w:tc>
      <w:tc>
        <w:tcPr>
          <w:tcW w:w="2453" w:type="pct"/>
        </w:tcPr>
        <w:p w:rsidR="00137D90" w:rsidRDefault="000B45CF" w:rsidP="009C1E9A">
          <w:pPr>
            <w:pStyle w:val="Footer"/>
            <w:tabs>
              <w:tab w:val="clear" w:pos="8640"/>
              <w:tab w:val="right" w:pos="9360"/>
            </w:tabs>
            <w:jc w:val="right"/>
          </w:pPr>
        </w:p>
      </w:tc>
    </w:tr>
    <w:tr w:rsidR="004E2A43" w:rsidTr="009C1E9A">
      <w:trPr>
        <w:cantSplit/>
      </w:trPr>
      <w:tc>
        <w:tcPr>
          <w:tcW w:w="0" w:type="pct"/>
        </w:tcPr>
        <w:p w:rsidR="00EC379B" w:rsidRDefault="000B45CF" w:rsidP="009C1E9A">
          <w:pPr>
            <w:pStyle w:val="Footer"/>
            <w:tabs>
              <w:tab w:val="clear" w:pos="8640"/>
              <w:tab w:val="right" w:pos="9360"/>
            </w:tabs>
          </w:pPr>
        </w:p>
      </w:tc>
      <w:tc>
        <w:tcPr>
          <w:tcW w:w="2395" w:type="pct"/>
        </w:tcPr>
        <w:p w:rsidR="00EC379B" w:rsidRPr="009C1E9A" w:rsidRDefault="000B45CF" w:rsidP="009C1E9A">
          <w:pPr>
            <w:pStyle w:val="Footer"/>
            <w:tabs>
              <w:tab w:val="clear" w:pos="8640"/>
              <w:tab w:val="right" w:pos="9360"/>
            </w:tabs>
            <w:rPr>
              <w:rFonts w:ascii="Shruti" w:hAnsi="Shruti"/>
              <w:sz w:val="22"/>
            </w:rPr>
          </w:pPr>
          <w:r>
            <w:rPr>
              <w:rFonts w:ascii="Shruti" w:hAnsi="Shruti"/>
              <w:sz w:val="22"/>
            </w:rPr>
            <w:t>85R 15105</w:t>
          </w:r>
        </w:p>
      </w:tc>
      <w:tc>
        <w:tcPr>
          <w:tcW w:w="2453" w:type="pct"/>
        </w:tcPr>
        <w:p w:rsidR="00EC379B" w:rsidRDefault="000B45CF" w:rsidP="009C1E9A">
          <w:pPr>
            <w:pStyle w:val="Footer"/>
            <w:tabs>
              <w:tab w:val="clear" w:pos="8640"/>
              <w:tab w:val="right" w:pos="9360"/>
            </w:tabs>
            <w:jc w:val="right"/>
          </w:pPr>
          <w:r>
            <w:fldChar w:fldCharType="begin"/>
          </w:r>
          <w:r>
            <w:instrText xml:space="preserve"> DOCPROPERTY  OTID  \* MERGEFORMAT </w:instrText>
          </w:r>
          <w:r>
            <w:fldChar w:fldCharType="separate"/>
          </w:r>
          <w:r>
            <w:t>17.62.26</w:t>
          </w:r>
          <w:r>
            <w:fldChar w:fldCharType="end"/>
          </w:r>
        </w:p>
      </w:tc>
    </w:tr>
    <w:tr w:rsidR="004E2A43" w:rsidTr="009C1E9A">
      <w:trPr>
        <w:cantSplit/>
      </w:trPr>
      <w:tc>
        <w:tcPr>
          <w:tcW w:w="0" w:type="pct"/>
        </w:tcPr>
        <w:p w:rsidR="00EC379B" w:rsidRDefault="000B45CF" w:rsidP="009C1E9A">
          <w:pPr>
            <w:pStyle w:val="Footer"/>
            <w:tabs>
              <w:tab w:val="clear" w:pos="4320"/>
              <w:tab w:val="clear" w:pos="8640"/>
              <w:tab w:val="left" w:pos="2865"/>
            </w:tabs>
          </w:pPr>
        </w:p>
      </w:tc>
      <w:tc>
        <w:tcPr>
          <w:tcW w:w="2395" w:type="pct"/>
        </w:tcPr>
        <w:p w:rsidR="00EC379B" w:rsidRPr="009C1E9A" w:rsidRDefault="000B45CF" w:rsidP="009C1E9A">
          <w:pPr>
            <w:pStyle w:val="Footer"/>
            <w:tabs>
              <w:tab w:val="clear" w:pos="4320"/>
              <w:tab w:val="clear" w:pos="8640"/>
              <w:tab w:val="left" w:pos="2865"/>
            </w:tabs>
            <w:rPr>
              <w:rFonts w:ascii="Shruti" w:hAnsi="Shruti"/>
              <w:sz w:val="22"/>
            </w:rPr>
          </w:pPr>
        </w:p>
      </w:tc>
      <w:tc>
        <w:tcPr>
          <w:tcW w:w="2453" w:type="pct"/>
        </w:tcPr>
        <w:p w:rsidR="00EC379B" w:rsidRDefault="000B45CF" w:rsidP="006D504F">
          <w:pPr>
            <w:pStyle w:val="Footer"/>
            <w:rPr>
              <w:rStyle w:val="PageNumber"/>
            </w:rPr>
          </w:pPr>
        </w:p>
        <w:p w:rsidR="00EC379B" w:rsidRDefault="000B45CF" w:rsidP="009C1E9A">
          <w:pPr>
            <w:pStyle w:val="Footer"/>
            <w:tabs>
              <w:tab w:val="clear" w:pos="8640"/>
              <w:tab w:val="right" w:pos="9360"/>
            </w:tabs>
            <w:jc w:val="right"/>
          </w:pPr>
        </w:p>
      </w:tc>
    </w:tr>
    <w:tr w:rsidR="004E2A43" w:rsidTr="009C1E9A">
      <w:trPr>
        <w:cantSplit/>
        <w:trHeight w:val="323"/>
      </w:trPr>
      <w:tc>
        <w:tcPr>
          <w:tcW w:w="0" w:type="pct"/>
          <w:gridSpan w:val="3"/>
        </w:tcPr>
        <w:p w:rsidR="00EC379B" w:rsidRDefault="000B45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B45CF" w:rsidP="009C1E9A">
          <w:pPr>
            <w:pStyle w:val="Footer"/>
            <w:tabs>
              <w:tab w:val="clear" w:pos="8640"/>
              <w:tab w:val="right" w:pos="9360"/>
            </w:tabs>
            <w:jc w:val="center"/>
          </w:pPr>
        </w:p>
      </w:tc>
    </w:tr>
  </w:tbl>
  <w:p w:rsidR="00EC379B" w:rsidRPr="00FF6F72" w:rsidRDefault="000B45C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45CF">
      <w:r>
        <w:separator/>
      </w:r>
    </w:p>
  </w:footnote>
  <w:footnote w:type="continuationSeparator" w:id="0">
    <w:p w:rsidR="00000000" w:rsidRDefault="000B4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43"/>
    <w:rsid w:val="000B45CF"/>
    <w:rsid w:val="004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42CE2"/>
    <w:rPr>
      <w:sz w:val="16"/>
      <w:szCs w:val="16"/>
    </w:rPr>
  </w:style>
  <w:style w:type="paragraph" w:styleId="CommentText">
    <w:name w:val="annotation text"/>
    <w:basedOn w:val="Normal"/>
    <w:link w:val="CommentTextChar"/>
    <w:rsid w:val="00142CE2"/>
    <w:rPr>
      <w:sz w:val="20"/>
      <w:szCs w:val="20"/>
    </w:rPr>
  </w:style>
  <w:style w:type="character" w:customStyle="1" w:styleId="CommentTextChar">
    <w:name w:val="Comment Text Char"/>
    <w:basedOn w:val="DefaultParagraphFont"/>
    <w:link w:val="CommentText"/>
    <w:rsid w:val="00142CE2"/>
  </w:style>
  <w:style w:type="paragraph" w:styleId="CommentSubject">
    <w:name w:val="annotation subject"/>
    <w:basedOn w:val="CommentText"/>
    <w:next w:val="CommentText"/>
    <w:link w:val="CommentSubjectChar"/>
    <w:rsid w:val="00142CE2"/>
    <w:rPr>
      <w:b/>
      <w:bCs/>
    </w:rPr>
  </w:style>
  <w:style w:type="character" w:customStyle="1" w:styleId="CommentSubjectChar">
    <w:name w:val="Comment Subject Char"/>
    <w:basedOn w:val="CommentTextChar"/>
    <w:link w:val="CommentSubject"/>
    <w:rsid w:val="00142CE2"/>
    <w:rPr>
      <w:b/>
      <w:bCs/>
    </w:rPr>
  </w:style>
  <w:style w:type="paragraph" w:styleId="Revision">
    <w:name w:val="Revision"/>
    <w:hidden/>
    <w:uiPriority w:val="99"/>
    <w:semiHidden/>
    <w:rsid w:val="00144B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42CE2"/>
    <w:rPr>
      <w:sz w:val="16"/>
      <w:szCs w:val="16"/>
    </w:rPr>
  </w:style>
  <w:style w:type="paragraph" w:styleId="CommentText">
    <w:name w:val="annotation text"/>
    <w:basedOn w:val="Normal"/>
    <w:link w:val="CommentTextChar"/>
    <w:rsid w:val="00142CE2"/>
    <w:rPr>
      <w:sz w:val="20"/>
      <w:szCs w:val="20"/>
    </w:rPr>
  </w:style>
  <w:style w:type="character" w:customStyle="1" w:styleId="CommentTextChar">
    <w:name w:val="Comment Text Char"/>
    <w:basedOn w:val="DefaultParagraphFont"/>
    <w:link w:val="CommentText"/>
    <w:rsid w:val="00142CE2"/>
  </w:style>
  <w:style w:type="paragraph" w:styleId="CommentSubject">
    <w:name w:val="annotation subject"/>
    <w:basedOn w:val="CommentText"/>
    <w:next w:val="CommentText"/>
    <w:link w:val="CommentSubjectChar"/>
    <w:rsid w:val="00142CE2"/>
    <w:rPr>
      <w:b/>
      <w:bCs/>
    </w:rPr>
  </w:style>
  <w:style w:type="character" w:customStyle="1" w:styleId="CommentSubjectChar">
    <w:name w:val="Comment Subject Char"/>
    <w:basedOn w:val="CommentTextChar"/>
    <w:link w:val="CommentSubject"/>
    <w:rsid w:val="00142CE2"/>
    <w:rPr>
      <w:b/>
      <w:bCs/>
    </w:rPr>
  </w:style>
  <w:style w:type="paragraph" w:styleId="Revision">
    <w:name w:val="Revision"/>
    <w:hidden/>
    <w:uiPriority w:val="99"/>
    <w:semiHidden/>
    <w:rsid w:val="00144B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3703</Characters>
  <Application>Microsoft Office Word</Application>
  <DocSecurity>4</DocSecurity>
  <Lines>78</Lines>
  <Paragraphs>18</Paragraphs>
  <ScaleCrop>false</ScaleCrop>
  <HeadingPairs>
    <vt:vector size="2" baseType="variant">
      <vt:variant>
        <vt:lpstr>Title</vt:lpstr>
      </vt:variant>
      <vt:variant>
        <vt:i4>1</vt:i4>
      </vt:variant>
    </vt:vector>
  </HeadingPairs>
  <TitlesOfParts>
    <vt:vector size="1" baseType="lpstr">
      <vt:lpstr>BA - HB00283 (Committee Report (Unamended))</vt:lpstr>
    </vt:vector>
  </TitlesOfParts>
  <Company>State of Texas</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15105</dc:subject>
  <dc:creator>State of Texas</dc:creator>
  <dc:description>HB 283 by Herrero-(H)Public Health</dc:description>
  <cp:lastModifiedBy>Brianna Weis</cp:lastModifiedBy>
  <cp:revision>2</cp:revision>
  <cp:lastPrinted>2017-03-03T15:22:00Z</cp:lastPrinted>
  <dcterms:created xsi:type="dcterms:W3CDTF">2017-03-20T17:43:00Z</dcterms:created>
  <dcterms:modified xsi:type="dcterms:W3CDTF">2017-03-20T17:43:00Z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17.62.26</vt:lpwstr>
  </property>
</Properties>
</file>