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A7BA5" w:rsidTr="00345119">
        <w:tc>
          <w:tcPr>
            <w:tcW w:w="9576" w:type="dxa"/>
            <w:noWrap/>
          </w:tcPr>
          <w:p w:rsidR="008423E4" w:rsidRPr="0022177D" w:rsidRDefault="00B45877" w:rsidP="00345119">
            <w:pPr>
              <w:pStyle w:val="Heading1"/>
            </w:pPr>
            <w:bookmarkStart w:id="0" w:name="_GoBack"/>
            <w:bookmarkEnd w:id="0"/>
            <w:r w:rsidRPr="00631897">
              <w:t>BILL ANALYSIS</w:t>
            </w:r>
          </w:p>
        </w:tc>
      </w:tr>
    </w:tbl>
    <w:p w:rsidR="008423E4" w:rsidRPr="0022177D" w:rsidRDefault="00B45877" w:rsidP="008423E4">
      <w:pPr>
        <w:jc w:val="center"/>
      </w:pPr>
    </w:p>
    <w:p w:rsidR="008423E4" w:rsidRPr="00B31F0E" w:rsidRDefault="00B45877" w:rsidP="008423E4"/>
    <w:p w:rsidR="008423E4" w:rsidRPr="00742794" w:rsidRDefault="00B45877" w:rsidP="008423E4">
      <w:pPr>
        <w:tabs>
          <w:tab w:val="right" w:pos="9360"/>
        </w:tabs>
      </w:pPr>
    </w:p>
    <w:tbl>
      <w:tblPr>
        <w:tblW w:w="0" w:type="auto"/>
        <w:tblLayout w:type="fixed"/>
        <w:tblLook w:val="01E0" w:firstRow="1" w:lastRow="1" w:firstColumn="1" w:lastColumn="1" w:noHBand="0" w:noVBand="0"/>
      </w:tblPr>
      <w:tblGrid>
        <w:gridCol w:w="9576"/>
      </w:tblGrid>
      <w:tr w:rsidR="006A7BA5" w:rsidTr="00345119">
        <w:tc>
          <w:tcPr>
            <w:tcW w:w="9576" w:type="dxa"/>
          </w:tcPr>
          <w:p w:rsidR="008423E4" w:rsidRPr="00861995" w:rsidRDefault="00B45877" w:rsidP="00345119">
            <w:pPr>
              <w:jc w:val="right"/>
            </w:pPr>
            <w:r>
              <w:t>C.S.H.B. 294</w:t>
            </w:r>
          </w:p>
        </w:tc>
      </w:tr>
      <w:tr w:rsidR="006A7BA5" w:rsidTr="00345119">
        <w:tc>
          <w:tcPr>
            <w:tcW w:w="9576" w:type="dxa"/>
          </w:tcPr>
          <w:p w:rsidR="008423E4" w:rsidRPr="00861995" w:rsidRDefault="00B45877" w:rsidP="00450D71">
            <w:pPr>
              <w:jc w:val="right"/>
            </w:pPr>
            <w:r>
              <w:t xml:space="preserve">By: </w:t>
            </w:r>
            <w:r>
              <w:t>Walle</w:t>
            </w:r>
          </w:p>
        </w:tc>
      </w:tr>
      <w:tr w:rsidR="006A7BA5" w:rsidTr="00345119">
        <w:tc>
          <w:tcPr>
            <w:tcW w:w="9576" w:type="dxa"/>
          </w:tcPr>
          <w:p w:rsidR="008423E4" w:rsidRPr="00861995" w:rsidRDefault="00B45877" w:rsidP="00345119">
            <w:pPr>
              <w:jc w:val="right"/>
            </w:pPr>
            <w:r>
              <w:t>Natural Resources</w:t>
            </w:r>
          </w:p>
        </w:tc>
      </w:tr>
      <w:tr w:rsidR="006A7BA5" w:rsidTr="00345119">
        <w:tc>
          <w:tcPr>
            <w:tcW w:w="9576" w:type="dxa"/>
          </w:tcPr>
          <w:p w:rsidR="008423E4" w:rsidRDefault="00B45877" w:rsidP="00345119">
            <w:pPr>
              <w:jc w:val="right"/>
            </w:pPr>
            <w:r>
              <w:t>Committee Report (Substituted)</w:t>
            </w:r>
          </w:p>
        </w:tc>
      </w:tr>
    </w:tbl>
    <w:p w:rsidR="008423E4" w:rsidRDefault="00B45877" w:rsidP="008423E4">
      <w:pPr>
        <w:tabs>
          <w:tab w:val="right" w:pos="9360"/>
        </w:tabs>
      </w:pPr>
    </w:p>
    <w:p w:rsidR="008423E4" w:rsidRDefault="00B45877" w:rsidP="008423E4"/>
    <w:p w:rsidR="008423E4" w:rsidRDefault="00B45877" w:rsidP="008423E4"/>
    <w:tbl>
      <w:tblPr>
        <w:tblW w:w="0" w:type="auto"/>
        <w:tblCellMar>
          <w:left w:w="115" w:type="dxa"/>
          <w:right w:w="115" w:type="dxa"/>
        </w:tblCellMar>
        <w:tblLook w:val="01E0" w:firstRow="1" w:lastRow="1" w:firstColumn="1" w:lastColumn="1" w:noHBand="0" w:noVBand="0"/>
      </w:tblPr>
      <w:tblGrid>
        <w:gridCol w:w="9588"/>
      </w:tblGrid>
      <w:tr w:rsidR="006A7BA5" w:rsidTr="00450D71">
        <w:tc>
          <w:tcPr>
            <w:tcW w:w="9588" w:type="dxa"/>
          </w:tcPr>
          <w:p w:rsidR="008423E4" w:rsidRPr="00A8133F" w:rsidRDefault="00B45877" w:rsidP="00AA6318">
            <w:pPr>
              <w:rPr>
                <w:b/>
              </w:rPr>
            </w:pPr>
            <w:r w:rsidRPr="009C1E9A">
              <w:rPr>
                <w:b/>
                <w:u w:val="single"/>
              </w:rPr>
              <w:t>BACKGROUND AND PURPOSE</w:t>
            </w:r>
            <w:r>
              <w:rPr>
                <w:b/>
              </w:rPr>
              <w:t xml:space="preserve"> </w:t>
            </w:r>
          </w:p>
          <w:p w:rsidR="008423E4" w:rsidRDefault="00B45877" w:rsidP="00AA6318"/>
          <w:p w:rsidR="008423E4" w:rsidRDefault="00B45877" w:rsidP="00AA6318">
            <w:pPr>
              <w:pStyle w:val="Header"/>
              <w:tabs>
                <w:tab w:val="clear" w:pos="4320"/>
                <w:tab w:val="clear" w:pos="8640"/>
              </w:tabs>
              <w:jc w:val="both"/>
            </w:pPr>
            <w:r>
              <w:t>Interested parties note that r</w:t>
            </w:r>
            <w:r w:rsidRPr="004F1F96">
              <w:t xml:space="preserve">esidents living in unincorporated areas of counties often depend on investor-owned water </w:t>
            </w:r>
            <w:r>
              <w:t xml:space="preserve">and sewer </w:t>
            </w:r>
            <w:r w:rsidRPr="004F1F96">
              <w:t xml:space="preserve">utilities </w:t>
            </w:r>
            <w:r>
              <w:t>for</w:t>
            </w:r>
            <w:r w:rsidRPr="004F1F96">
              <w:t xml:space="preserve"> residential water and wastewater services. </w:t>
            </w:r>
            <w:r>
              <w:t xml:space="preserve">The </w:t>
            </w:r>
            <w:r w:rsidRPr="004F1F96">
              <w:t>parties</w:t>
            </w:r>
            <w:r>
              <w:t xml:space="preserve"> contend</w:t>
            </w:r>
            <w:r>
              <w:t>,</w:t>
            </w:r>
            <w:r>
              <w:t xml:space="preserve"> however</w:t>
            </w:r>
            <w:r>
              <w:t>,</w:t>
            </w:r>
            <w:r>
              <w:t xml:space="preserve"> that</w:t>
            </w:r>
            <w:r w:rsidRPr="004F1F96">
              <w:t xml:space="preserve"> some of these residents experience issues with water quality or loss of water service</w:t>
            </w:r>
            <w:r>
              <w:t xml:space="preserve"> and that such issues are not adequately resolved. </w:t>
            </w:r>
            <w:r>
              <w:t>C.S.</w:t>
            </w:r>
            <w:r w:rsidRPr="004F1F96">
              <w:t>H.B. 294 seeks to addres</w:t>
            </w:r>
            <w:r w:rsidRPr="004F1F96">
              <w:t xml:space="preserve">s this issue </w:t>
            </w:r>
            <w:r>
              <w:t xml:space="preserve">by </w:t>
            </w:r>
            <w:r>
              <w:t xml:space="preserve">expanding the </w:t>
            </w:r>
            <w:r>
              <w:t>circumstances under which</w:t>
            </w:r>
            <w:r>
              <w:t xml:space="preserve"> </w:t>
            </w:r>
            <w:r>
              <w:t>the attorney general</w:t>
            </w:r>
            <w:r>
              <w:t xml:space="preserve"> is required to</w:t>
            </w:r>
            <w:r>
              <w:t xml:space="preserve"> bring</w:t>
            </w:r>
            <w:r>
              <w:t xml:space="preserve"> </w:t>
            </w:r>
            <w:r>
              <w:t>suit for the appointment of a receiver</w:t>
            </w:r>
            <w:r>
              <w:t xml:space="preserve"> to collect the assets and carry on the business of a water or sewer utility</w:t>
            </w:r>
            <w:r>
              <w:t xml:space="preserve"> on certain request</w:t>
            </w:r>
            <w:r w:rsidRPr="004F1F96">
              <w:t>.</w:t>
            </w:r>
          </w:p>
          <w:p w:rsidR="008423E4" w:rsidRPr="00E26B13" w:rsidRDefault="00B45877" w:rsidP="00AA6318">
            <w:pPr>
              <w:rPr>
                <w:b/>
              </w:rPr>
            </w:pPr>
          </w:p>
        </w:tc>
      </w:tr>
      <w:tr w:rsidR="006A7BA5" w:rsidTr="00450D71">
        <w:tc>
          <w:tcPr>
            <w:tcW w:w="9588" w:type="dxa"/>
          </w:tcPr>
          <w:p w:rsidR="0017725B" w:rsidRDefault="00B45877" w:rsidP="00AA6318">
            <w:pPr>
              <w:rPr>
                <w:b/>
                <w:u w:val="single"/>
              </w:rPr>
            </w:pPr>
            <w:r>
              <w:rPr>
                <w:b/>
                <w:u w:val="single"/>
              </w:rPr>
              <w:t>CRIMINAL JUSTICE IMPA</w:t>
            </w:r>
            <w:r>
              <w:rPr>
                <w:b/>
                <w:u w:val="single"/>
              </w:rPr>
              <w:t>CT</w:t>
            </w:r>
          </w:p>
          <w:p w:rsidR="0017725B" w:rsidRDefault="00B45877" w:rsidP="00AA6318">
            <w:pPr>
              <w:rPr>
                <w:b/>
                <w:u w:val="single"/>
              </w:rPr>
            </w:pPr>
          </w:p>
          <w:p w:rsidR="00AC4EC4" w:rsidRPr="00AC4EC4" w:rsidRDefault="00B45877" w:rsidP="00AA6318">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B45877" w:rsidP="00AA6318">
            <w:pPr>
              <w:rPr>
                <w:b/>
                <w:u w:val="single"/>
              </w:rPr>
            </w:pPr>
          </w:p>
        </w:tc>
      </w:tr>
      <w:tr w:rsidR="006A7BA5" w:rsidTr="00450D71">
        <w:tc>
          <w:tcPr>
            <w:tcW w:w="9588" w:type="dxa"/>
          </w:tcPr>
          <w:p w:rsidR="008423E4" w:rsidRPr="00A8133F" w:rsidRDefault="00B45877" w:rsidP="00AA6318">
            <w:pPr>
              <w:rPr>
                <w:b/>
              </w:rPr>
            </w:pPr>
            <w:r w:rsidRPr="009C1E9A">
              <w:rPr>
                <w:b/>
                <w:u w:val="single"/>
              </w:rPr>
              <w:t>RULEMAKING AUTHORITY</w:t>
            </w:r>
            <w:r>
              <w:rPr>
                <w:b/>
              </w:rPr>
              <w:t xml:space="preserve"> </w:t>
            </w:r>
          </w:p>
          <w:p w:rsidR="008423E4" w:rsidRDefault="00B45877" w:rsidP="00AA6318"/>
          <w:p w:rsidR="00AC4EC4" w:rsidRDefault="00B45877" w:rsidP="00AA631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45877" w:rsidP="00AA6318">
            <w:pPr>
              <w:rPr>
                <w:b/>
              </w:rPr>
            </w:pPr>
          </w:p>
        </w:tc>
      </w:tr>
      <w:tr w:rsidR="006A7BA5" w:rsidTr="00450D71">
        <w:tc>
          <w:tcPr>
            <w:tcW w:w="9588" w:type="dxa"/>
          </w:tcPr>
          <w:p w:rsidR="008423E4" w:rsidRPr="00A8133F" w:rsidRDefault="00B45877" w:rsidP="00AA6318">
            <w:pPr>
              <w:rPr>
                <w:b/>
              </w:rPr>
            </w:pPr>
            <w:r w:rsidRPr="009C1E9A">
              <w:rPr>
                <w:b/>
                <w:u w:val="single"/>
              </w:rPr>
              <w:t>ANALYSIS</w:t>
            </w:r>
            <w:r>
              <w:rPr>
                <w:b/>
              </w:rPr>
              <w:t xml:space="preserve"> </w:t>
            </w:r>
          </w:p>
          <w:p w:rsidR="008423E4" w:rsidRDefault="00B45877" w:rsidP="00AA6318"/>
          <w:p w:rsidR="008423E4" w:rsidRDefault="00B45877" w:rsidP="00AA6318">
            <w:pPr>
              <w:pStyle w:val="Header"/>
              <w:jc w:val="both"/>
            </w:pPr>
            <w:r>
              <w:t>C.S.</w:t>
            </w:r>
            <w:r>
              <w:t xml:space="preserve">H.B. 294 amends the Water Code to </w:t>
            </w:r>
            <w:r>
              <w:t xml:space="preserve">include as a water or sewer utility for which </w:t>
            </w:r>
            <w:r>
              <w:t>the attorney general</w:t>
            </w:r>
            <w:r>
              <w:t xml:space="preserve"> is required</w:t>
            </w:r>
            <w:r>
              <w:t xml:space="preserve"> to bring suit for the appointment of a receiver to collect the assets and carry on the business</w:t>
            </w:r>
            <w:r>
              <w:t xml:space="preserve"> of the utility</w:t>
            </w:r>
            <w:r>
              <w:t xml:space="preserve"> at the request of the Public Uti</w:t>
            </w:r>
            <w:r>
              <w:t xml:space="preserve">lity Commission of Texas or the </w:t>
            </w:r>
            <w:r w:rsidRPr="000C559C">
              <w:t>Texas Commission on Environmental Quality</w:t>
            </w:r>
            <w:r>
              <w:t xml:space="preserve"> </w:t>
            </w:r>
            <w:r>
              <w:t xml:space="preserve">a water or sewer utility that violates a final judgment issued by a district court in a suit brought by the attorney general under </w:t>
            </w:r>
            <w:r>
              <w:t>water rates and services</w:t>
            </w:r>
            <w:r>
              <w:t xml:space="preserve"> provisions</w:t>
            </w:r>
            <w:r>
              <w:t xml:space="preserve">, </w:t>
            </w:r>
            <w:r>
              <w:t xml:space="preserve">certain water </w:t>
            </w:r>
            <w:r>
              <w:t xml:space="preserve">administration </w:t>
            </w:r>
            <w:r>
              <w:t xml:space="preserve">enforcement provisions, or </w:t>
            </w:r>
            <w:r w:rsidRPr="00415F42">
              <w:t>Health and Safety Code</w:t>
            </w:r>
            <w:r>
              <w:t xml:space="preserve"> provisions relating to </w:t>
            </w:r>
            <w:r w:rsidRPr="00597D8F">
              <w:t>minimum standards of sanitation and health protection measures</w:t>
            </w:r>
            <w:r>
              <w:t>.</w:t>
            </w:r>
          </w:p>
          <w:p w:rsidR="008423E4" w:rsidRPr="00835628" w:rsidRDefault="00B45877" w:rsidP="00AA6318">
            <w:pPr>
              <w:rPr>
                <w:b/>
              </w:rPr>
            </w:pPr>
          </w:p>
        </w:tc>
      </w:tr>
      <w:tr w:rsidR="006A7BA5" w:rsidTr="00450D71">
        <w:tc>
          <w:tcPr>
            <w:tcW w:w="9588" w:type="dxa"/>
          </w:tcPr>
          <w:p w:rsidR="008423E4" w:rsidRPr="00A8133F" w:rsidRDefault="00B45877" w:rsidP="00AA6318">
            <w:pPr>
              <w:rPr>
                <w:b/>
              </w:rPr>
            </w:pPr>
            <w:r w:rsidRPr="009C1E9A">
              <w:rPr>
                <w:b/>
                <w:u w:val="single"/>
              </w:rPr>
              <w:t>EFFECTIVE DATE</w:t>
            </w:r>
            <w:r>
              <w:rPr>
                <w:b/>
              </w:rPr>
              <w:t xml:space="preserve"> </w:t>
            </w:r>
          </w:p>
          <w:p w:rsidR="008423E4" w:rsidRDefault="00B45877" w:rsidP="00AA6318"/>
          <w:p w:rsidR="008423E4" w:rsidRPr="003624F2" w:rsidRDefault="00B45877" w:rsidP="00AA6318">
            <w:pPr>
              <w:pStyle w:val="Header"/>
              <w:tabs>
                <w:tab w:val="clear" w:pos="4320"/>
                <w:tab w:val="clear" w:pos="8640"/>
              </w:tabs>
              <w:jc w:val="both"/>
            </w:pPr>
            <w:r>
              <w:t>September 1, 2017.</w:t>
            </w:r>
          </w:p>
          <w:p w:rsidR="008423E4" w:rsidRPr="00233FDB" w:rsidRDefault="00B45877" w:rsidP="00AA6318">
            <w:pPr>
              <w:rPr>
                <w:b/>
              </w:rPr>
            </w:pPr>
          </w:p>
        </w:tc>
      </w:tr>
      <w:tr w:rsidR="006A7BA5" w:rsidTr="00450D71">
        <w:tc>
          <w:tcPr>
            <w:tcW w:w="9588" w:type="dxa"/>
          </w:tcPr>
          <w:p w:rsidR="00450D71" w:rsidRDefault="00B45877" w:rsidP="00AA6318">
            <w:pPr>
              <w:jc w:val="both"/>
              <w:rPr>
                <w:b/>
                <w:u w:val="single"/>
              </w:rPr>
            </w:pPr>
            <w:r>
              <w:rPr>
                <w:b/>
                <w:u w:val="single"/>
              </w:rPr>
              <w:t>COMPARISON OF ORIGINAL AND SUBSTITUTE</w:t>
            </w:r>
          </w:p>
          <w:p w:rsidR="008D64C2" w:rsidRDefault="00B45877" w:rsidP="00AA6318">
            <w:pPr>
              <w:jc w:val="both"/>
            </w:pPr>
          </w:p>
          <w:p w:rsidR="008D64C2" w:rsidRDefault="00B45877" w:rsidP="00AA6318">
            <w:pPr>
              <w:jc w:val="both"/>
            </w:pPr>
            <w:r>
              <w:t xml:space="preserve">While C.S.H.B. 294 may </w:t>
            </w:r>
            <w:r>
              <w:t>differ from the original in minor or nonsubstantive ways, the following comparison is organized and formatted in a manner that indicates the substantial differences between the introduced and committee substitute versions of the bill.</w:t>
            </w:r>
          </w:p>
          <w:p w:rsidR="008D64C2" w:rsidRPr="00DA197F" w:rsidRDefault="00B45877" w:rsidP="00AA6318">
            <w:pPr>
              <w:jc w:val="both"/>
            </w:pPr>
          </w:p>
        </w:tc>
      </w:tr>
      <w:tr w:rsidR="006A7BA5" w:rsidTr="00450D71">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821"/>
              <w:gridCol w:w="4531"/>
            </w:tblGrid>
            <w:tr w:rsidR="006A7BA5" w:rsidTr="00450D71">
              <w:trPr>
                <w:cantSplit/>
                <w:tblHeader/>
              </w:trPr>
              <w:tc>
                <w:tcPr>
                  <w:tcW w:w="4821" w:type="dxa"/>
                  <w:tcMar>
                    <w:bottom w:w="188" w:type="dxa"/>
                  </w:tcMar>
                </w:tcPr>
                <w:p w:rsidR="00450D71" w:rsidRDefault="00B45877" w:rsidP="00AA6318">
                  <w:pPr>
                    <w:jc w:val="center"/>
                  </w:pPr>
                  <w:r>
                    <w:t>INTRODUCED</w:t>
                  </w:r>
                </w:p>
              </w:tc>
              <w:tc>
                <w:tcPr>
                  <w:tcW w:w="4531" w:type="dxa"/>
                  <w:tcMar>
                    <w:bottom w:w="188" w:type="dxa"/>
                  </w:tcMar>
                </w:tcPr>
                <w:p w:rsidR="00450D71" w:rsidRDefault="00B45877" w:rsidP="00AA6318">
                  <w:pPr>
                    <w:jc w:val="center"/>
                  </w:pPr>
                  <w:r>
                    <w:t xml:space="preserve">HOUSE </w:t>
                  </w:r>
                  <w:r>
                    <w:t>COMMITTEE SUBSTITUTE</w:t>
                  </w:r>
                </w:p>
              </w:tc>
            </w:tr>
            <w:tr w:rsidR="006A7BA5" w:rsidTr="00450D71">
              <w:tc>
                <w:tcPr>
                  <w:tcW w:w="4821" w:type="dxa"/>
                  <w:tcMar>
                    <w:right w:w="360" w:type="dxa"/>
                  </w:tcMar>
                </w:tcPr>
                <w:p w:rsidR="00450D71" w:rsidRDefault="00B45877" w:rsidP="00AA6318">
                  <w:pPr>
                    <w:jc w:val="both"/>
                  </w:pPr>
                  <w:r>
                    <w:t xml:space="preserve">SECTION 1.  Subchapter G, Chapter 13, Water Code, is amended by adding Section </w:t>
                  </w:r>
                  <w:r>
                    <w:lastRenderedPageBreak/>
                    <w:t>13.2541 to read as follows:</w:t>
                  </w:r>
                </w:p>
                <w:p w:rsidR="00450D71" w:rsidRDefault="00B45877" w:rsidP="00AA6318">
                  <w:pPr>
                    <w:jc w:val="both"/>
                  </w:pPr>
                  <w:r>
                    <w:rPr>
                      <w:u w:val="single"/>
                    </w:rPr>
                    <w:t>Sec. 13.2541.  APPOINTMENT OF TEMPORARY MANAGER.  (a)  Utility commission staff shall file a petition to appoint a temporary ma</w:t>
                  </w:r>
                  <w:r>
                    <w:rPr>
                      <w:u w:val="single"/>
                    </w:rPr>
                    <w:t>nager of an investor-owned water utility if the staff  has reason to believe:</w:t>
                  </w:r>
                </w:p>
                <w:p w:rsidR="00450D71" w:rsidRDefault="00B45877" w:rsidP="00AA6318">
                  <w:pPr>
                    <w:jc w:val="both"/>
                  </w:pPr>
                  <w:r>
                    <w:rPr>
                      <w:u w:val="single"/>
                    </w:rPr>
                    <w:t>(1)  the utility has repeated or continuous violations of commission rules or of the commission's predecessor agency rules regarding well capacity, storage tank capacity, service</w:t>
                  </w:r>
                  <w:r>
                    <w:rPr>
                      <w:u w:val="single"/>
                    </w:rPr>
                    <w:t xml:space="preserve"> pump capacity, or pressure tank capacity for at least six years before the petition is filed;</w:t>
                  </w:r>
                </w:p>
                <w:p w:rsidR="00450D71" w:rsidRDefault="00B45877" w:rsidP="00AA6318">
                  <w:pPr>
                    <w:jc w:val="both"/>
                  </w:pPr>
                  <w:r>
                    <w:rPr>
                      <w:u w:val="single"/>
                    </w:rPr>
                    <w:t>(2)  neither an owner of the utility nor the utility has borrowed money from a federally insured lending institution to remedy a violation of a rule described by</w:t>
                  </w:r>
                  <w:r>
                    <w:rPr>
                      <w:u w:val="single"/>
                    </w:rPr>
                    <w:t xml:space="preserve"> Subdivision (1);</w:t>
                  </w:r>
                </w:p>
                <w:p w:rsidR="00450D71" w:rsidRDefault="00B45877" w:rsidP="00AA6318">
                  <w:pPr>
                    <w:jc w:val="both"/>
                  </w:pPr>
                  <w:r>
                    <w:rPr>
                      <w:u w:val="single"/>
                    </w:rPr>
                    <w:t>(3)  the utility serves more than 1,000 connections but is made up of less than five public water systems;</w:t>
                  </w:r>
                </w:p>
                <w:p w:rsidR="00450D71" w:rsidRDefault="00B45877" w:rsidP="00AA6318">
                  <w:pPr>
                    <w:jc w:val="both"/>
                  </w:pPr>
                  <w:r>
                    <w:rPr>
                      <w:u w:val="single"/>
                    </w:rPr>
                    <w:t>(4)  the utility does not serve customers who are located in a municipality; and</w:t>
                  </w:r>
                </w:p>
                <w:p w:rsidR="00450D71" w:rsidRDefault="00B45877" w:rsidP="00AA6318">
                  <w:pPr>
                    <w:jc w:val="both"/>
                  </w:pPr>
                  <w:r>
                    <w:rPr>
                      <w:u w:val="single"/>
                    </w:rPr>
                    <w:t>(5)  the utility is located in a county with a pop</w:t>
                  </w:r>
                  <w:r>
                    <w:rPr>
                      <w:u w:val="single"/>
                    </w:rPr>
                    <w:t>ulation of more than 2.7 million.</w:t>
                  </w:r>
                </w:p>
                <w:p w:rsidR="00450D71" w:rsidRDefault="00B45877" w:rsidP="00AA6318">
                  <w:pPr>
                    <w:jc w:val="both"/>
                  </w:pPr>
                  <w:r>
                    <w:rPr>
                      <w:u w:val="single"/>
                    </w:rPr>
                    <w:t>(b)  If, after notice and an opportunity for a hearing, the  utility commission finds that the facts alleged in the petition are true, the utility commission may appoint a temporary manager and may also refer the investor-</w:t>
                  </w:r>
                  <w:r>
                    <w:rPr>
                      <w:u w:val="single"/>
                    </w:rPr>
                    <w:t>owned utility to the attorney general for the appointment of a receiver under Section 13.412.  The utility commission shall issue its final order not more than 180 days after the date the petition is filed.</w:t>
                  </w:r>
                </w:p>
                <w:p w:rsidR="00450D71" w:rsidRDefault="00B45877" w:rsidP="00AA6318">
                  <w:pPr>
                    <w:jc w:val="both"/>
                  </w:pPr>
                  <w:r>
                    <w:rPr>
                      <w:u w:val="single"/>
                    </w:rPr>
                    <w:t>(c)  If the utility commission appoints a tempora</w:t>
                  </w:r>
                  <w:r>
                    <w:rPr>
                      <w:u w:val="single"/>
                    </w:rPr>
                    <w:t>ry manager, the manager shall have all the power and authority provided by Section 13.4132(c).  Not more than 120 days after the appointment of the manager, the manager shall recommend to the utility commission whether or not the utility's certificate shou</w:t>
                  </w:r>
                  <w:r>
                    <w:rPr>
                      <w:u w:val="single"/>
                    </w:rPr>
                    <w:t>ld be revoked. If the manager recommends revocation, the manager shall recommend one or  more retail public utilities that could provide service to the certificated area.</w:t>
                  </w:r>
                </w:p>
                <w:p w:rsidR="00450D71" w:rsidRDefault="00B45877" w:rsidP="00AA6318">
                  <w:pPr>
                    <w:jc w:val="both"/>
                  </w:pPr>
                  <w:r>
                    <w:rPr>
                      <w:u w:val="single"/>
                    </w:rPr>
                    <w:t>(d)  If a court appoints a receiver for the utility, the temporary manager's appointm</w:t>
                  </w:r>
                  <w:r>
                    <w:rPr>
                      <w:u w:val="single"/>
                    </w:rPr>
                    <w:t>ent ends when the receiver executes the bond required by Section 13.412.  The temporary manager is eligible to be appointed as the receiver.</w:t>
                  </w:r>
                </w:p>
                <w:p w:rsidR="00450D71" w:rsidRDefault="00B45877" w:rsidP="00AA6318">
                  <w:pPr>
                    <w:jc w:val="both"/>
                  </w:pPr>
                  <w:r>
                    <w:rPr>
                      <w:u w:val="single"/>
                    </w:rPr>
                    <w:t xml:space="preserve">(e)  Not more than 90 days after the appointment of a receiver by the court, the </w:t>
                  </w:r>
                  <w:r>
                    <w:rPr>
                      <w:u w:val="single"/>
                    </w:rPr>
                    <w:lastRenderedPageBreak/>
                    <w:t>receiver shall recommend to the ut</w:t>
                  </w:r>
                  <w:r>
                    <w:rPr>
                      <w:u w:val="single"/>
                    </w:rPr>
                    <w:t>ility commission whether or not the utility's certificate of convenience and necessity should be revoked.  If the receiver recommends revocation, the receiver shall recommend one or more retail public utilities that could provide service to the certificate</w:t>
                  </w:r>
                  <w:r>
                    <w:rPr>
                      <w:u w:val="single"/>
                    </w:rPr>
                    <w:t>d area.  The receiver may recommend any other remedy authorized by this chapter.</w:t>
                  </w:r>
                </w:p>
                <w:p w:rsidR="00450D71" w:rsidRDefault="00B45877" w:rsidP="00AA6318">
                  <w:pPr>
                    <w:jc w:val="both"/>
                  </w:pPr>
                  <w:r>
                    <w:rPr>
                      <w:u w:val="single"/>
                    </w:rPr>
                    <w:t>(f)  If the receiver recommends revocation, the utility commission staff shall file a petition to revoke the certificate of convenience and necessity under Section 13.254.</w:t>
                  </w:r>
                </w:p>
                <w:p w:rsidR="00450D71" w:rsidRDefault="00B45877" w:rsidP="00AA6318">
                  <w:pPr>
                    <w:jc w:val="both"/>
                  </w:pPr>
                </w:p>
              </w:tc>
              <w:tc>
                <w:tcPr>
                  <w:tcW w:w="4531" w:type="dxa"/>
                  <w:tcMar>
                    <w:left w:w="360" w:type="dxa"/>
                  </w:tcMar>
                </w:tcPr>
                <w:p w:rsidR="00450D71" w:rsidRDefault="00B45877" w:rsidP="00AA6318">
                  <w:pPr>
                    <w:jc w:val="both"/>
                  </w:pPr>
                  <w:r w:rsidRPr="00B85392">
                    <w:rPr>
                      <w:highlight w:val="lightGray"/>
                    </w:rPr>
                    <w:lastRenderedPageBreak/>
                    <w:t>No</w:t>
                  </w:r>
                  <w:r w:rsidRPr="00B85392">
                    <w:rPr>
                      <w:highlight w:val="lightGray"/>
                    </w:rPr>
                    <w:t xml:space="preserve"> equivalent provision.</w:t>
                  </w:r>
                  <w:r>
                    <w:t xml:space="preserve"> </w:t>
                  </w:r>
                  <w:r w:rsidRPr="005A39D7">
                    <w:rPr>
                      <w:i/>
                    </w:rPr>
                    <w:t>(But see SECTION 1 below.)</w:t>
                  </w:r>
                </w:p>
                <w:p w:rsidR="00450D71" w:rsidRDefault="00B45877" w:rsidP="00AA6318">
                  <w:pPr>
                    <w:jc w:val="both"/>
                  </w:pPr>
                </w:p>
              </w:tc>
            </w:tr>
            <w:tr w:rsidR="006A7BA5" w:rsidTr="00450D71">
              <w:tc>
                <w:tcPr>
                  <w:tcW w:w="4821" w:type="dxa"/>
                  <w:tcMar>
                    <w:right w:w="360" w:type="dxa"/>
                  </w:tcMar>
                </w:tcPr>
                <w:p w:rsidR="00450D71" w:rsidRDefault="00B45877" w:rsidP="00AA6318">
                  <w:pPr>
                    <w:jc w:val="both"/>
                  </w:pPr>
                  <w:r w:rsidRPr="00B85392">
                    <w:rPr>
                      <w:highlight w:val="lightGray"/>
                    </w:rPr>
                    <w:lastRenderedPageBreak/>
                    <w:t>No equivalent provision.</w:t>
                  </w:r>
                  <w:r>
                    <w:t xml:space="preserve"> </w:t>
                  </w:r>
                  <w:r w:rsidRPr="005A39D7">
                    <w:rPr>
                      <w:i/>
                    </w:rPr>
                    <w:t xml:space="preserve">(But see SECTION 1 </w:t>
                  </w:r>
                  <w:r>
                    <w:rPr>
                      <w:i/>
                    </w:rPr>
                    <w:t>above</w:t>
                  </w:r>
                  <w:r w:rsidRPr="005A39D7">
                    <w:rPr>
                      <w:i/>
                    </w:rPr>
                    <w:t>.)</w:t>
                  </w:r>
                </w:p>
                <w:p w:rsidR="00450D71" w:rsidRDefault="00B45877" w:rsidP="00AA6318">
                  <w:pPr>
                    <w:jc w:val="both"/>
                  </w:pPr>
                </w:p>
              </w:tc>
              <w:tc>
                <w:tcPr>
                  <w:tcW w:w="4531" w:type="dxa"/>
                  <w:tcMar>
                    <w:left w:w="360" w:type="dxa"/>
                  </w:tcMar>
                </w:tcPr>
                <w:p w:rsidR="00450D71" w:rsidRDefault="00B45877" w:rsidP="00AA6318">
                  <w:pPr>
                    <w:jc w:val="both"/>
                  </w:pPr>
                  <w:r>
                    <w:t>SECTION 1.  Section 13.412(a), Water Code, is amended to read as follows:</w:t>
                  </w:r>
                </w:p>
                <w:p w:rsidR="00450D71" w:rsidRDefault="00B45877" w:rsidP="00AA6318">
                  <w:pPr>
                    <w:jc w:val="both"/>
                  </w:pPr>
                  <w:r>
                    <w:t>(a)  At the request of the utility commission or the commission, the attorney</w:t>
                  </w:r>
                  <w:r>
                    <w:t xml:space="preserve"> general shall bring suit for the appointment of a receiver to collect the assets and carry on the business of a water or sewer utility that:</w:t>
                  </w:r>
                </w:p>
                <w:p w:rsidR="00450D71" w:rsidRDefault="00B45877" w:rsidP="00AA6318">
                  <w:pPr>
                    <w:jc w:val="both"/>
                  </w:pPr>
                  <w:r>
                    <w:t>(1)  has abandoned operation of its facilities;</w:t>
                  </w:r>
                </w:p>
                <w:p w:rsidR="00450D71" w:rsidRDefault="00B45877" w:rsidP="00AA6318">
                  <w:pPr>
                    <w:jc w:val="both"/>
                  </w:pPr>
                  <w:r>
                    <w:t>(2)  informs the utility commission or the commission that the own</w:t>
                  </w:r>
                  <w:r>
                    <w:t>er is abandoning the system;</w:t>
                  </w:r>
                </w:p>
                <w:p w:rsidR="00450D71" w:rsidRDefault="00B45877" w:rsidP="00AA6318">
                  <w:pPr>
                    <w:jc w:val="both"/>
                  </w:pPr>
                  <w:r>
                    <w:t>(3)  violates a final order of the utility commission or the commission; [</w:t>
                  </w:r>
                  <w:r>
                    <w:rPr>
                      <w:strike/>
                    </w:rPr>
                    <w:t>or</w:t>
                  </w:r>
                  <w:r>
                    <w:t>]</w:t>
                  </w:r>
                </w:p>
                <w:p w:rsidR="00450D71" w:rsidRDefault="00B45877" w:rsidP="00AA6318">
                  <w:pPr>
                    <w:jc w:val="both"/>
                  </w:pPr>
                  <w:r>
                    <w:t>(4)  allows any property owned or controlled by it to be used in violation of a final order of the utility commission or the commission</w:t>
                  </w:r>
                  <w:r>
                    <w:rPr>
                      <w:u w:val="single"/>
                    </w:rPr>
                    <w:t>; or</w:t>
                  </w:r>
                </w:p>
                <w:p w:rsidR="00450D71" w:rsidRDefault="00B45877" w:rsidP="00AA6318">
                  <w:pPr>
                    <w:jc w:val="both"/>
                  </w:pPr>
                  <w:r>
                    <w:rPr>
                      <w:u w:val="single"/>
                    </w:rPr>
                    <w:t>(5)  viol</w:t>
                  </w:r>
                  <w:r>
                    <w:rPr>
                      <w:u w:val="single"/>
                    </w:rPr>
                    <w:t>ates a final judgment issued by a district court in a suit brought by the attorney general under:</w:t>
                  </w:r>
                </w:p>
                <w:p w:rsidR="00450D71" w:rsidRDefault="00B45877" w:rsidP="00AA6318">
                  <w:pPr>
                    <w:jc w:val="both"/>
                  </w:pPr>
                  <w:r>
                    <w:rPr>
                      <w:u w:val="single"/>
                    </w:rPr>
                    <w:t>(A)  this chapter;</w:t>
                  </w:r>
                </w:p>
                <w:p w:rsidR="00450D71" w:rsidRDefault="00B45877" w:rsidP="00AA6318">
                  <w:pPr>
                    <w:jc w:val="both"/>
                  </w:pPr>
                  <w:r>
                    <w:rPr>
                      <w:u w:val="single"/>
                    </w:rPr>
                    <w:t>(B)  Chapter 7; or</w:t>
                  </w:r>
                </w:p>
                <w:p w:rsidR="00450D71" w:rsidRDefault="00B45877" w:rsidP="00AA6318">
                  <w:pPr>
                    <w:jc w:val="both"/>
                  </w:pPr>
                  <w:r>
                    <w:rPr>
                      <w:u w:val="single"/>
                    </w:rPr>
                    <w:t>(C)  Chapter 341, Health and Safety Code</w:t>
                  </w:r>
                  <w:r>
                    <w:t>.</w:t>
                  </w:r>
                </w:p>
                <w:p w:rsidR="00450D71" w:rsidRDefault="00B45877" w:rsidP="00AA6318">
                  <w:pPr>
                    <w:jc w:val="both"/>
                  </w:pPr>
                </w:p>
              </w:tc>
            </w:tr>
            <w:tr w:rsidR="006A7BA5" w:rsidTr="00450D71">
              <w:tc>
                <w:tcPr>
                  <w:tcW w:w="4821" w:type="dxa"/>
                  <w:tcMar>
                    <w:right w:w="360" w:type="dxa"/>
                  </w:tcMar>
                </w:tcPr>
                <w:p w:rsidR="00450D71" w:rsidRDefault="00B45877" w:rsidP="00AA6318">
                  <w:pPr>
                    <w:jc w:val="both"/>
                  </w:pPr>
                  <w:r>
                    <w:t>SECTION 2.  This Act takes effect September 1, 2017.</w:t>
                  </w:r>
                </w:p>
                <w:p w:rsidR="00450D71" w:rsidRDefault="00B45877" w:rsidP="00AA6318">
                  <w:pPr>
                    <w:jc w:val="both"/>
                  </w:pPr>
                </w:p>
              </w:tc>
              <w:tc>
                <w:tcPr>
                  <w:tcW w:w="4531" w:type="dxa"/>
                  <w:tcMar>
                    <w:left w:w="360" w:type="dxa"/>
                  </w:tcMar>
                </w:tcPr>
                <w:p w:rsidR="00450D71" w:rsidRDefault="00B45877" w:rsidP="00AA6318">
                  <w:pPr>
                    <w:jc w:val="both"/>
                  </w:pPr>
                  <w:r>
                    <w:t>SECTION 2. Same as int</w:t>
                  </w:r>
                  <w:r>
                    <w:t>roduced version.</w:t>
                  </w:r>
                </w:p>
                <w:p w:rsidR="00450D71" w:rsidRDefault="00B45877" w:rsidP="00AA6318">
                  <w:pPr>
                    <w:jc w:val="both"/>
                  </w:pPr>
                </w:p>
                <w:p w:rsidR="00450D71" w:rsidRDefault="00B45877" w:rsidP="00AA6318">
                  <w:pPr>
                    <w:jc w:val="both"/>
                  </w:pPr>
                </w:p>
              </w:tc>
            </w:tr>
          </w:tbl>
          <w:p w:rsidR="00450D71" w:rsidRDefault="00B45877" w:rsidP="00AA6318"/>
          <w:p w:rsidR="00D503AA" w:rsidRPr="009C1E9A" w:rsidRDefault="00B45877" w:rsidP="00AA6318">
            <w:pPr>
              <w:rPr>
                <w:b/>
                <w:u w:val="single"/>
              </w:rPr>
            </w:pPr>
          </w:p>
        </w:tc>
      </w:tr>
      <w:tr w:rsidR="006A7BA5" w:rsidTr="00450D71">
        <w:tc>
          <w:tcPr>
            <w:tcW w:w="9588" w:type="dxa"/>
          </w:tcPr>
          <w:p w:rsidR="00F327F2" w:rsidRPr="00D503AA" w:rsidRDefault="00B45877" w:rsidP="00AA6318">
            <w:pPr>
              <w:jc w:val="both"/>
            </w:pPr>
          </w:p>
        </w:tc>
      </w:tr>
      <w:tr w:rsidR="006A7BA5" w:rsidTr="00450D71">
        <w:tc>
          <w:tcPr>
            <w:tcW w:w="9588" w:type="dxa"/>
          </w:tcPr>
          <w:p w:rsidR="00F327F2" w:rsidRPr="00D503AA" w:rsidRDefault="00B45877" w:rsidP="00AA6318">
            <w:pPr>
              <w:jc w:val="both"/>
            </w:pPr>
          </w:p>
        </w:tc>
      </w:tr>
      <w:tr w:rsidR="006A7BA5" w:rsidTr="00450D71">
        <w:tc>
          <w:tcPr>
            <w:tcW w:w="9588" w:type="dxa"/>
          </w:tcPr>
          <w:p w:rsidR="00450D71" w:rsidRPr="00D503AA" w:rsidRDefault="00B45877" w:rsidP="00AA6318">
            <w:pPr>
              <w:jc w:val="both"/>
            </w:pPr>
          </w:p>
        </w:tc>
      </w:tr>
      <w:tr w:rsidR="006A7BA5" w:rsidTr="00450D71">
        <w:tc>
          <w:tcPr>
            <w:tcW w:w="9588" w:type="dxa"/>
          </w:tcPr>
          <w:p w:rsidR="00450D71" w:rsidRPr="00D503AA" w:rsidRDefault="00B45877" w:rsidP="00AA6318">
            <w:pPr>
              <w:jc w:val="both"/>
            </w:pPr>
          </w:p>
        </w:tc>
      </w:tr>
      <w:tr w:rsidR="006A7BA5" w:rsidTr="00450D71">
        <w:tc>
          <w:tcPr>
            <w:tcW w:w="9588" w:type="dxa"/>
          </w:tcPr>
          <w:p w:rsidR="00450D71" w:rsidRPr="00D503AA" w:rsidRDefault="00B45877" w:rsidP="00AA6318">
            <w:pPr>
              <w:jc w:val="both"/>
            </w:pPr>
          </w:p>
        </w:tc>
      </w:tr>
    </w:tbl>
    <w:p w:rsidR="008423E4" w:rsidRPr="00BE0E75" w:rsidRDefault="00B45877" w:rsidP="008423E4">
      <w:pPr>
        <w:spacing w:line="480" w:lineRule="auto"/>
        <w:jc w:val="both"/>
        <w:rPr>
          <w:rFonts w:ascii="Arial" w:hAnsi="Arial"/>
          <w:sz w:val="16"/>
          <w:szCs w:val="16"/>
        </w:rPr>
      </w:pPr>
    </w:p>
    <w:p w:rsidR="004108C3" w:rsidRPr="008423E4" w:rsidRDefault="00B4587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877">
      <w:r>
        <w:separator/>
      </w:r>
    </w:p>
  </w:endnote>
  <w:endnote w:type="continuationSeparator" w:id="0">
    <w:p w:rsidR="00000000" w:rsidRDefault="00B4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A7BA5" w:rsidTr="009C1E9A">
      <w:trPr>
        <w:cantSplit/>
      </w:trPr>
      <w:tc>
        <w:tcPr>
          <w:tcW w:w="0" w:type="pct"/>
        </w:tcPr>
        <w:p w:rsidR="00137D90" w:rsidRDefault="00B45877" w:rsidP="009C1E9A">
          <w:pPr>
            <w:pStyle w:val="Footer"/>
            <w:tabs>
              <w:tab w:val="clear" w:pos="8640"/>
              <w:tab w:val="right" w:pos="9360"/>
            </w:tabs>
          </w:pPr>
        </w:p>
      </w:tc>
      <w:tc>
        <w:tcPr>
          <w:tcW w:w="2395" w:type="pct"/>
        </w:tcPr>
        <w:p w:rsidR="00137D90" w:rsidRDefault="00B45877" w:rsidP="009C1E9A">
          <w:pPr>
            <w:pStyle w:val="Footer"/>
            <w:tabs>
              <w:tab w:val="clear" w:pos="8640"/>
              <w:tab w:val="right" w:pos="9360"/>
            </w:tabs>
          </w:pPr>
        </w:p>
        <w:p w:rsidR="00137D90" w:rsidRDefault="00B45877" w:rsidP="009C1E9A">
          <w:pPr>
            <w:pStyle w:val="Footer"/>
            <w:tabs>
              <w:tab w:val="clear" w:pos="8640"/>
              <w:tab w:val="right" w:pos="9360"/>
            </w:tabs>
          </w:pPr>
        </w:p>
      </w:tc>
      <w:tc>
        <w:tcPr>
          <w:tcW w:w="2453" w:type="pct"/>
        </w:tcPr>
        <w:p w:rsidR="00137D90" w:rsidRDefault="00B45877" w:rsidP="009C1E9A">
          <w:pPr>
            <w:pStyle w:val="Footer"/>
            <w:tabs>
              <w:tab w:val="clear" w:pos="8640"/>
              <w:tab w:val="right" w:pos="9360"/>
            </w:tabs>
            <w:jc w:val="right"/>
          </w:pPr>
        </w:p>
      </w:tc>
    </w:tr>
    <w:tr w:rsidR="006A7BA5" w:rsidTr="009C1E9A">
      <w:trPr>
        <w:cantSplit/>
      </w:trPr>
      <w:tc>
        <w:tcPr>
          <w:tcW w:w="0" w:type="pct"/>
        </w:tcPr>
        <w:p w:rsidR="00EC379B" w:rsidRDefault="00B45877" w:rsidP="009C1E9A">
          <w:pPr>
            <w:pStyle w:val="Footer"/>
            <w:tabs>
              <w:tab w:val="clear" w:pos="8640"/>
              <w:tab w:val="right" w:pos="9360"/>
            </w:tabs>
          </w:pPr>
        </w:p>
      </w:tc>
      <w:tc>
        <w:tcPr>
          <w:tcW w:w="2395" w:type="pct"/>
        </w:tcPr>
        <w:p w:rsidR="00EC379B" w:rsidRPr="009C1E9A" w:rsidRDefault="00B45877" w:rsidP="009C1E9A">
          <w:pPr>
            <w:pStyle w:val="Footer"/>
            <w:tabs>
              <w:tab w:val="clear" w:pos="8640"/>
              <w:tab w:val="right" w:pos="9360"/>
            </w:tabs>
            <w:rPr>
              <w:rFonts w:ascii="Shruti" w:hAnsi="Shruti"/>
              <w:sz w:val="22"/>
            </w:rPr>
          </w:pPr>
          <w:r>
            <w:rPr>
              <w:rFonts w:ascii="Shruti" w:hAnsi="Shruti"/>
              <w:sz w:val="22"/>
            </w:rPr>
            <w:t>85R 22043</w:t>
          </w:r>
        </w:p>
      </w:tc>
      <w:tc>
        <w:tcPr>
          <w:tcW w:w="2453" w:type="pct"/>
        </w:tcPr>
        <w:p w:rsidR="00EC379B" w:rsidRDefault="00B45877" w:rsidP="009C1E9A">
          <w:pPr>
            <w:pStyle w:val="Footer"/>
            <w:tabs>
              <w:tab w:val="clear" w:pos="8640"/>
              <w:tab w:val="right" w:pos="9360"/>
            </w:tabs>
            <w:jc w:val="right"/>
          </w:pPr>
          <w:r>
            <w:fldChar w:fldCharType="begin"/>
          </w:r>
          <w:r>
            <w:instrText xml:space="preserve"> DOCPROPERTY  OTID  \* MERGEFORMAT </w:instrText>
          </w:r>
          <w:r>
            <w:fldChar w:fldCharType="separate"/>
          </w:r>
          <w:r>
            <w:t>17.96.772</w:t>
          </w:r>
          <w:r>
            <w:fldChar w:fldCharType="end"/>
          </w:r>
        </w:p>
      </w:tc>
    </w:tr>
    <w:tr w:rsidR="006A7BA5" w:rsidTr="009C1E9A">
      <w:trPr>
        <w:cantSplit/>
      </w:trPr>
      <w:tc>
        <w:tcPr>
          <w:tcW w:w="0" w:type="pct"/>
        </w:tcPr>
        <w:p w:rsidR="00EC379B" w:rsidRDefault="00B45877" w:rsidP="009C1E9A">
          <w:pPr>
            <w:pStyle w:val="Footer"/>
            <w:tabs>
              <w:tab w:val="clear" w:pos="4320"/>
              <w:tab w:val="clear" w:pos="8640"/>
              <w:tab w:val="left" w:pos="2865"/>
            </w:tabs>
          </w:pPr>
        </w:p>
      </w:tc>
      <w:tc>
        <w:tcPr>
          <w:tcW w:w="2395" w:type="pct"/>
        </w:tcPr>
        <w:p w:rsidR="00EC379B" w:rsidRPr="009C1E9A" w:rsidRDefault="00B45877" w:rsidP="009C1E9A">
          <w:pPr>
            <w:pStyle w:val="Footer"/>
            <w:tabs>
              <w:tab w:val="clear" w:pos="4320"/>
              <w:tab w:val="clear" w:pos="8640"/>
              <w:tab w:val="left" w:pos="2865"/>
            </w:tabs>
            <w:rPr>
              <w:rFonts w:ascii="Shruti" w:hAnsi="Shruti"/>
              <w:sz w:val="22"/>
            </w:rPr>
          </w:pPr>
          <w:r>
            <w:rPr>
              <w:rFonts w:ascii="Shruti" w:hAnsi="Shruti"/>
              <w:sz w:val="22"/>
            </w:rPr>
            <w:t>Substitute Document Number: 85R 19238</w:t>
          </w:r>
        </w:p>
      </w:tc>
      <w:tc>
        <w:tcPr>
          <w:tcW w:w="2453" w:type="pct"/>
        </w:tcPr>
        <w:p w:rsidR="00EC379B" w:rsidRDefault="00B45877" w:rsidP="006D504F">
          <w:pPr>
            <w:pStyle w:val="Footer"/>
            <w:rPr>
              <w:rStyle w:val="PageNumber"/>
            </w:rPr>
          </w:pPr>
        </w:p>
        <w:p w:rsidR="00EC379B" w:rsidRDefault="00B45877" w:rsidP="009C1E9A">
          <w:pPr>
            <w:pStyle w:val="Footer"/>
            <w:tabs>
              <w:tab w:val="clear" w:pos="8640"/>
              <w:tab w:val="right" w:pos="9360"/>
            </w:tabs>
            <w:jc w:val="right"/>
          </w:pPr>
        </w:p>
      </w:tc>
    </w:tr>
    <w:tr w:rsidR="006A7BA5" w:rsidTr="009C1E9A">
      <w:trPr>
        <w:cantSplit/>
        <w:trHeight w:val="323"/>
      </w:trPr>
      <w:tc>
        <w:tcPr>
          <w:tcW w:w="0" w:type="pct"/>
          <w:gridSpan w:val="3"/>
        </w:tcPr>
        <w:p w:rsidR="00EC379B" w:rsidRDefault="00B458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45877" w:rsidP="009C1E9A">
          <w:pPr>
            <w:pStyle w:val="Footer"/>
            <w:tabs>
              <w:tab w:val="clear" w:pos="8640"/>
              <w:tab w:val="right" w:pos="9360"/>
            </w:tabs>
            <w:jc w:val="center"/>
          </w:pPr>
        </w:p>
      </w:tc>
    </w:tr>
  </w:tbl>
  <w:p w:rsidR="00EC379B" w:rsidRPr="00FF6F72" w:rsidRDefault="00B4587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5877">
      <w:r>
        <w:separator/>
      </w:r>
    </w:p>
  </w:footnote>
  <w:footnote w:type="continuationSeparator" w:id="0">
    <w:p w:rsidR="00000000" w:rsidRDefault="00B4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A5"/>
    <w:rsid w:val="006A7BA5"/>
    <w:rsid w:val="00B4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3B9"/>
    <w:rPr>
      <w:sz w:val="16"/>
      <w:szCs w:val="16"/>
    </w:rPr>
  </w:style>
  <w:style w:type="paragraph" w:styleId="CommentText">
    <w:name w:val="annotation text"/>
    <w:basedOn w:val="Normal"/>
    <w:link w:val="CommentTextChar"/>
    <w:rsid w:val="006D33B9"/>
    <w:rPr>
      <w:sz w:val="20"/>
      <w:szCs w:val="20"/>
    </w:rPr>
  </w:style>
  <w:style w:type="character" w:customStyle="1" w:styleId="CommentTextChar">
    <w:name w:val="Comment Text Char"/>
    <w:basedOn w:val="DefaultParagraphFont"/>
    <w:link w:val="CommentText"/>
    <w:rsid w:val="006D33B9"/>
  </w:style>
  <w:style w:type="paragraph" w:styleId="CommentSubject">
    <w:name w:val="annotation subject"/>
    <w:basedOn w:val="CommentText"/>
    <w:next w:val="CommentText"/>
    <w:link w:val="CommentSubjectChar"/>
    <w:rsid w:val="006D33B9"/>
    <w:rPr>
      <w:b/>
      <w:bCs/>
    </w:rPr>
  </w:style>
  <w:style w:type="character" w:customStyle="1" w:styleId="CommentSubjectChar">
    <w:name w:val="Comment Subject Char"/>
    <w:basedOn w:val="CommentTextChar"/>
    <w:link w:val="CommentSubject"/>
    <w:rsid w:val="006D33B9"/>
    <w:rPr>
      <w:b/>
      <w:bCs/>
    </w:rPr>
  </w:style>
  <w:style w:type="character" w:styleId="Hyperlink">
    <w:name w:val="Hyperlink"/>
    <w:basedOn w:val="DefaultParagraphFont"/>
    <w:rsid w:val="00F57F9E"/>
    <w:rPr>
      <w:color w:val="0000FF" w:themeColor="hyperlink"/>
      <w:u w:val="single"/>
    </w:rPr>
  </w:style>
  <w:style w:type="character" w:styleId="FollowedHyperlink">
    <w:name w:val="FollowedHyperlink"/>
    <w:basedOn w:val="DefaultParagraphFont"/>
    <w:rsid w:val="005A39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3B9"/>
    <w:rPr>
      <w:sz w:val="16"/>
      <w:szCs w:val="16"/>
    </w:rPr>
  </w:style>
  <w:style w:type="paragraph" w:styleId="CommentText">
    <w:name w:val="annotation text"/>
    <w:basedOn w:val="Normal"/>
    <w:link w:val="CommentTextChar"/>
    <w:rsid w:val="006D33B9"/>
    <w:rPr>
      <w:sz w:val="20"/>
      <w:szCs w:val="20"/>
    </w:rPr>
  </w:style>
  <w:style w:type="character" w:customStyle="1" w:styleId="CommentTextChar">
    <w:name w:val="Comment Text Char"/>
    <w:basedOn w:val="DefaultParagraphFont"/>
    <w:link w:val="CommentText"/>
    <w:rsid w:val="006D33B9"/>
  </w:style>
  <w:style w:type="paragraph" w:styleId="CommentSubject">
    <w:name w:val="annotation subject"/>
    <w:basedOn w:val="CommentText"/>
    <w:next w:val="CommentText"/>
    <w:link w:val="CommentSubjectChar"/>
    <w:rsid w:val="006D33B9"/>
    <w:rPr>
      <w:b/>
      <w:bCs/>
    </w:rPr>
  </w:style>
  <w:style w:type="character" w:customStyle="1" w:styleId="CommentSubjectChar">
    <w:name w:val="Comment Subject Char"/>
    <w:basedOn w:val="CommentTextChar"/>
    <w:link w:val="CommentSubject"/>
    <w:rsid w:val="006D33B9"/>
    <w:rPr>
      <w:b/>
      <w:bCs/>
    </w:rPr>
  </w:style>
  <w:style w:type="character" w:styleId="Hyperlink">
    <w:name w:val="Hyperlink"/>
    <w:basedOn w:val="DefaultParagraphFont"/>
    <w:rsid w:val="00F57F9E"/>
    <w:rPr>
      <w:color w:val="0000FF" w:themeColor="hyperlink"/>
      <w:u w:val="single"/>
    </w:rPr>
  </w:style>
  <w:style w:type="character" w:styleId="FollowedHyperlink">
    <w:name w:val="FollowedHyperlink"/>
    <w:basedOn w:val="DefaultParagraphFont"/>
    <w:rsid w:val="005A3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5083</Characters>
  <Application>Microsoft Office Word</Application>
  <DocSecurity>4</DocSecurity>
  <Lines>173</Lines>
  <Paragraphs>45</Paragraphs>
  <ScaleCrop>false</ScaleCrop>
  <HeadingPairs>
    <vt:vector size="2" baseType="variant">
      <vt:variant>
        <vt:lpstr>Title</vt:lpstr>
      </vt:variant>
      <vt:variant>
        <vt:i4>1</vt:i4>
      </vt:variant>
    </vt:vector>
  </HeadingPairs>
  <TitlesOfParts>
    <vt:vector size="1" baseType="lpstr">
      <vt:lpstr>BA - HB00294 (Committee Report (Substituted))</vt:lpstr>
    </vt:vector>
  </TitlesOfParts>
  <Company>State of Texas</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22043</dc:subject>
  <dc:creator>State of Texas</dc:creator>
  <dc:description>HB 294 by Walle-(H)Natural Resources (Substitute Document Number: 85R 19238)</dc:description>
  <cp:lastModifiedBy>Molly Hoffman-Bricker</cp:lastModifiedBy>
  <cp:revision>2</cp:revision>
  <cp:lastPrinted>2017-04-07T15:33:00Z</cp:lastPrinted>
  <dcterms:created xsi:type="dcterms:W3CDTF">2017-04-17T14:56:00Z</dcterms:created>
  <dcterms:modified xsi:type="dcterms:W3CDTF">2017-04-17T14:56:00Z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17.96.772</vt:lpwstr>
  </property>
</Properties>
</file>