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7FA9" w:rsidTr="00345119">
        <w:tc>
          <w:tcPr>
            <w:tcW w:w="9576" w:type="dxa"/>
            <w:noWrap/>
          </w:tcPr>
          <w:p w:rsidR="008423E4" w:rsidRPr="0022177D" w:rsidRDefault="00BD69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6938" w:rsidP="008423E4">
      <w:pPr>
        <w:jc w:val="center"/>
      </w:pPr>
    </w:p>
    <w:p w:rsidR="008423E4" w:rsidRPr="00B31F0E" w:rsidRDefault="00BD6938" w:rsidP="008423E4"/>
    <w:p w:rsidR="008423E4" w:rsidRPr="00742794" w:rsidRDefault="00BD69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7FA9" w:rsidTr="00345119">
        <w:tc>
          <w:tcPr>
            <w:tcW w:w="9576" w:type="dxa"/>
          </w:tcPr>
          <w:p w:rsidR="008423E4" w:rsidRPr="00861995" w:rsidRDefault="00BD6938" w:rsidP="00345119">
            <w:pPr>
              <w:jc w:val="right"/>
            </w:pPr>
            <w:r>
              <w:t>H.B. 296</w:t>
            </w:r>
          </w:p>
        </w:tc>
      </w:tr>
      <w:tr w:rsidR="00B37FA9" w:rsidTr="00345119">
        <w:tc>
          <w:tcPr>
            <w:tcW w:w="9576" w:type="dxa"/>
          </w:tcPr>
          <w:p w:rsidR="008423E4" w:rsidRPr="00861995" w:rsidRDefault="00BD6938" w:rsidP="003D7A11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B37FA9" w:rsidTr="00345119">
        <w:tc>
          <w:tcPr>
            <w:tcW w:w="9576" w:type="dxa"/>
          </w:tcPr>
          <w:p w:rsidR="008423E4" w:rsidRPr="00861995" w:rsidRDefault="00BD6938" w:rsidP="00345119">
            <w:pPr>
              <w:jc w:val="right"/>
            </w:pPr>
            <w:r>
              <w:t>Business &amp; Industry</w:t>
            </w:r>
          </w:p>
        </w:tc>
      </w:tr>
      <w:tr w:rsidR="00B37FA9" w:rsidTr="00345119">
        <w:tc>
          <w:tcPr>
            <w:tcW w:w="9576" w:type="dxa"/>
          </w:tcPr>
          <w:p w:rsidR="008423E4" w:rsidRDefault="00BD693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6938" w:rsidP="008423E4">
      <w:pPr>
        <w:tabs>
          <w:tab w:val="right" w:pos="9360"/>
        </w:tabs>
      </w:pPr>
    </w:p>
    <w:p w:rsidR="008423E4" w:rsidRDefault="00BD6938" w:rsidP="008423E4"/>
    <w:p w:rsidR="008423E4" w:rsidRDefault="00BD69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7FA9" w:rsidTr="00345119">
        <w:tc>
          <w:tcPr>
            <w:tcW w:w="9576" w:type="dxa"/>
          </w:tcPr>
          <w:p w:rsidR="008423E4" w:rsidRPr="00A8133F" w:rsidRDefault="00BD6938" w:rsidP="00AE49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6938" w:rsidP="00AE49FB"/>
          <w:p w:rsidR="008423E4" w:rsidRDefault="00BD6938" w:rsidP="00AE49FB">
            <w:pPr>
              <w:pStyle w:val="Header"/>
              <w:jc w:val="both"/>
            </w:pPr>
            <w:r>
              <w:t xml:space="preserve">Interested parties are concerned that certain businesses that sell nitrous oxide do not do enough to deter the recreational use of the substance. H.B. 296 seeks to make a misrepresentation of nitrous oxide's intended </w:t>
            </w:r>
            <w:r>
              <w:t xml:space="preserve">purpose or </w:t>
            </w:r>
            <w:r>
              <w:t>use</w:t>
            </w:r>
            <w:r>
              <w:t xml:space="preserve"> a deceptive trade </w:t>
            </w:r>
            <w:r>
              <w:t>act or</w:t>
            </w:r>
            <w:r>
              <w:t xml:space="preserve"> </w:t>
            </w:r>
            <w:r>
              <w:t>practice</w:t>
            </w:r>
            <w:r>
              <w:t>.</w:t>
            </w:r>
          </w:p>
          <w:p w:rsidR="008423E4" w:rsidRPr="00E26B13" w:rsidRDefault="00BD6938" w:rsidP="00AE49FB">
            <w:pPr>
              <w:rPr>
                <w:b/>
              </w:rPr>
            </w:pPr>
          </w:p>
        </w:tc>
      </w:tr>
      <w:tr w:rsidR="00B37FA9" w:rsidTr="00345119">
        <w:tc>
          <w:tcPr>
            <w:tcW w:w="9576" w:type="dxa"/>
          </w:tcPr>
          <w:p w:rsidR="0017725B" w:rsidRDefault="00BD6938" w:rsidP="00AE49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6938" w:rsidP="00AE49FB">
            <w:pPr>
              <w:rPr>
                <w:b/>
                <w:u w:val="single"/>
              </w:rPr>
            </w:pPr>
          </w:p>
          <w:p w:rsidR="00CA516F" w:rsidRPr="00CA516F" w:rsidRDefault="00BD6938" w:rsidP="00AE49F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:rsidR="0017725B" w:rsidRPr="0017725B" w:rsidRDefault="00BD6938" w:rsidP="00AE49FB">
            <w:pPr>
              <w:rPr>
                <w:b/>
                <w:u w:val="single"/>
              </w:rPr>
            </w:pPr>
          </w:p>
        </w:tc>
      </w:tr>
      <w:tr w:rsidR="00B37FA9" w:rsidTr="00345119">
        <w:tc>
          <w:tcPr>
            <w:tcW w:w="9576" w:type="dxa"/>
          </w:tcPr>
          <w:p w:rsidR="008423E4" w:rsidRPr="00A8133F" w:rsidRDefault="00BD6938" w:rsidP="00AE49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6938" w:rsidP="00AE49FB"/>
          <w:p w:rsidR="00CA516F" w:rsidRDefault="00BD6938" w:rsidP="00AE49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D6938" w:rsidP="00AE49FB">
            <w:pPr>
              <w:rPr>
                <w:b/>
              </w:rPr>
            </w:pPr>
          </w:p>
        </w:tc>
      </w:tr>
      <w:tr w:rsidR="00B37FA9" w:rsidTr="00345119">
        <w:tc>
          <w:tcPr>
            <w:tcW w:w="9576" w:type="dxa"/>
          </w:tcPr>
          <w:p w:rsidR="008423E4" w:rsidRPr="00A8133F" w:rsidRDefault="00BD6938" w:rsidP="00AE49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6938" w:rsidP="00AE49FB"/>
          <w:p w:rsidR="008423E4" w:rsidRDefault="00BD6938" w:rsidP="00AE49FB">
            <w:pPr>
              <w:pStyle w:val="Header"/>
              <w:jc w:val="both"/>
            </w:pPr>
            <w:r>
              <w:t xml:space="preserve">H.B. 296 </w:t>
            </w:r>
            <w:r>
              <w:t>amends the</w:t>
            </w:r>
            <w:r w:rsidRPr="00774559">
              <w:t xml:space="preserve"> Business &amp; Commerce Code</w:t>
            </w:r>
            <w:r>
              <w:t xml:space="preserve"> </w:t>
            </w:r>
            <w:r>
              <w:t xml:space="preserve">to </w:t>
            </w:r>
            <w:r>
              <w:t xml:space="preserve">expand </w:t>
            </w:r>
            <w:r>
              <w:t xml:space="preserve">the definition of </w:t>
            </w:r>
            <w:r>
              <w:t>"</w:t>
            </w:r>
            <w:r w:rsidRPr="00774559">
              <w:t>false, misleading, or deceptive acts or practices</w:t>
            </w:r>
            <w:r>
              <w:t xml:space="preserve">" </w:t>
            </w:r>
            <w:r>
              <w:t>under</w:t>
            </w:r>
            <w:r>
              <w:t xml:space="preserve"> the </w:t>
            </w:r>
            <w:r w:rsidRPr="00AF5B78">
              <w:t>Deceptive Trade Practices-Consumer Protection Act</w:t>
            </w:r>
            <w:r>
              <w:t xml:space="preserve"> to include</w:t>
            </w:r>
            <w:r>
              <w:t xml:space="preserve"> </w:t>
            </w:r>
            <w:r>
              <w:t>the following</w:t>
            </w:r>
            <w:r>
              <w:t xml:space="preserve"> activities as they relate to the sale, marketi</w:t>
            </w:r>
            <w:r>
              <w:t>ng, packaging, or advertising of nitrous oxide</w:t>
            </w:r>
            <w:r>
              <w:t>:</w:t>
            </w:r>
            <w:r>
              <w:t xml:space="preserve"> </w:t>
            </w:r>
            <w:r>
              <w:t xml:space="preserve">representing that the nitrous oxide is intended for a purpose or for use other than as a pesticide subject to </w:t>
            </w:r>
            <w:r>
              <w:t xml:space="preserve">state law regulating </w:t>
            </w:r>
            <w:r>
              <w:t>pesticide</w:t>
            </w:r>
            <w:r>
              <w:t>s</w:t>
            </w:r>
            <w:r>
              <w:t xml:space="preserve"> and herbicide</w:t>
            </w:r>
            <w:r>
              <w:t>s</w:t>
            </w:r>
            <w:r>
              <w:t xml:space="preserve"> or to the Federal Environmental Pesticide Control A</w:t>
            </w:r>
            <w:r>
              <w:t>ct of 1972</w:t>
            </w:r>
            <w:r>
              <w:t xml:space="preserve">; </w:t>
            </w:r>
            <w:r w:rsidRPr="00F84D16">
              <w:t>representing that the nitrous oxide is intended for a purpose or for use other than as</w:t>
            </w:r>
            <w:r>
              <w:t xml:space="preserve"> a food, drug, or cosmetic subject to </w:t>
            </w:r>
            <w:r w:rsidRPr="00CA516F">
              <w:t>the Tex</w:t>
            </w:r>
            <w:r>
              <w:t>as Food, Drug, and Cosmetic Act or to the Federal Food, Drug, and Cosmetic Act</w:t>
            </w:r>
            <w:r>
              <w:t>; or</w:t>
            </w:r>
            <w:r>
              <w:t xml:space="preserve"> </w:t>
            </w:r>
            <w:r w:rsidRPr="00F84D16">
              <w:t xml:space="preserve">representing that the nitrous </w:t>
            </w:r>
            <w:r w:rsidRPr="00F84D16">
              <w:t>oxide is intended for a p</w:t>
            </w:r>
            <w:r>
              <w:t>urpose or for use other than as</w:t>
            </w:r>
            <w:r>
              <w:t xml:space="preserve"> a beverage subject to the Federal Alcohol Administration Act.</w:t>
            </w:r>
          </w:p>
          <w:p w:rsidR="00C625ED" w:rsidRPr="00C625ED" w:rsidRDefault="00BD6938" w:rsidP="00AE49FB">
            <w:pPr>
              <w:pStyle w:val="Header"/>
              <w:jc w:val="both"/>
            </w:pPr>
          </w:p>
        </w:tc>
      </w:tr>
      <w:tr w:rsidR="00B37FA9" w:rsidTr="00345119">
        <w:tc>
          <w:tcPr>
            <w:tcW w:w="9576" w:type="dxa"/>
          </w:tcPr>
          <w:p w:rsidR="008423E4" w:rsidRPr="00A8133F" w:rsidRDefault="00BD6938" w:rsidP="00AE49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6938" w:rsidP="00AE49FB"/>
          <w:p w:rsidR="008423E4" w:rsidRPr="003624F2" w:rsidRDefault="00BD6938" w:rsidP="00AE49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D6938" w:rsidP="00AE49FB">
            <w:pPr>
              <w:rPr>
                <w:b/>
              </w:rPr>
            </w:pPr>
          </w:p>
        </w:tc>
      </w:tr>
    </w:tbl>
    <w:p w:rsidR="008423E4" w:rsidRPr="00BE0E75" w:rsidRDefault="00BD69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6938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6938">
      <w:r>
        <w:separator/>
      </w:r>
    </w:p>
  </w:endnote>
  <w:endnote w:type="continuationSeparator" w:id="0">
    <w:p w:rsidR="00000000" w:rsidRDefault="00BD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7FA9" w:rsidTr="009C1E9A">
      <w:trPr>
        <w:cantSplit/>
      </w:trPr>
      <w:tc>
        <w:tcPr>
          <w:tcW w:w="0" w:type="pct"/>
        </w:tcPr>
        <w:p w:rsidR="00137D90" w:rsidRDefault="00BD69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69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69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69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69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7FA9" w:rsidTr="009C1E9A">
      <w:trPr>
        <w:cantSplit/>
      </w:trPr>
      <w:tc>
        <w:tcPr>
          <w:tcW w:w="0" w:type="pct"/>
        </w:tcPr>
        <w:p w:rsidR="00EC379B" w:rsidRDefault="00BD69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69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16022</w:t>
          </w:r>
        </w:p>
      </w:tc>
      <w:tc>
        <w:tcPr>
          <w:tcW w:w="2453" w:type="pct"/>
        </w:tcPr>
        <w:p w:rsidR="00EC379B" w:rsidRDefault="00BD69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17.67.304</w:t>
          </w:r>
          <w:r>
            <w:fldChar w:fldCharType="end"/>
          </w:r>
        </w:p>
      </w:tc>
    </w:tr>
    <w:tr w:rsidR="00B37FA9" w:rsidTr="009C1E9A">
      <w:trPr>
        <w:cantSplit/>
      </w:trPr>
      <w:tc>
        <w:tcPr>
          <w:tcW w:w="0" w:type="pct"/>
        </w:tcPr>
        <w:p w:rsidR="00EC379B" w:rsidRDefault="00BD69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69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6938" w:rsidP="006D504F">
          <w:pPr>
            <w:pStyle w:val="Footer"/>
            <w:rPr>
              <w:rStyle w:val="PageNumber"/>
            </w:rPr>
          </w:pPr>
        </w:p>
        <w:p w:rsidR="00EC379B" w:rsidRDefault="00BD69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7F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69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69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69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6938">
      <w:r>
        <w:separator/>
      </w:r>
    </w:p>
  </w:footnote>
  <w:footnote w:type="continuationSeparator" w:id="0">
    <w:p w:rsidR="00000000" w:rsidRDefault="00BD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683"/>
    <w:multiLevelType w:val="hybridMultilevel"/>
    <w:tmpl w:val="EA1A8B36"/>
    <w:lvl w:ilvl="0" w:tplc="22743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4C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0E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A1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5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20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C9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B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48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A9"/>
    <w:rsid w:val="00B37FA9"/>
    <w:rsid w:val="00B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5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16F"/>
  </w:style>
  <w:style w:type="paragraph" w:styleId="CommentSubject">
    <w:name w:val="annotation subject"/>
    <w:basedOn w:val="CommentText"/>
    <w:next w:val="CommentText"/>
    <w:link w:val="CommentSubjectChar"/>
    <w:rsid w:val="00CA5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516F"/>
    <w:rPr>
      <w:b/>
      <w:bCs/>
    </w:rPr>
  </w:style>
  <w:style w:type="paragraph" w:styleId="Revision">
    <w:name w:val="Revision"/>
    <w:hidden/>
    <w:uiPriority w:val="99"/>
    <w:semiHidden/>
    <w:rsid w:val="008270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5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16F"/>
  </w:style>
  <w:style w:type="paragraph" w:styleId="CommentSubject">
    <w:name w:val="annotation subject"/>
    <w:basedOn w:val="CommentText"/>
    <w:next w:val="CommentText"/>
    <w:link w:val="CommentSubjectChar"/>
    <w:rsid w:val="00CA5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516F"/>
    <w:rPr>
      <w:b/>
      <w:bCs/>
    </w:rPr>
  </w:style>
  <w:style w:type="paragraph" w:styleId="Revision">
    <w:name w:val="Revision"/>
    <w:hidden/>
    <w:uiPriority w:val="99"/>
    <w:semiHidden/>
    <w:rsid w:val="008270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1505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HB00296 (Committee Report (Unamended))</vt:lpstr>
    </vt:vector>
  </TitlesOfParts>
  <Company>State of Texas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16022</dc:subject>
  <dc:creator>State of Texas</dc:creator>
  <dc:description>HB 296 by Muñoz, Jr.-(H)Business &amp; Industry</dc:description>
  <cp:lastModifiedBy>Molly Hoffman-Bricker</cp:lastModifiedBy>
  <cp:revision>2</cp:revision>
  <cp:lastPrinted>2017-03-08T18:42:00Z</cp:lastPrinted>
  <dcterms:created xsi:type="dcterms:W3CDTF">2017-04-21T23:08:00Z</dcterms:created>
  <dcterms:modified xsi:type="dcterms:W3CDTF">2017-04-21T23:08:00Z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17.67.304</vt:lpwstr>
  </property>
</Properties>
</file>