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80228" w:rsidTr="00345119">
        <w:tc>
          <w:tcPr>
            <w:tcW w:w="9576" w:type="dxa"/>
            <w:noWrap/>
          </w:tcPr>
          <w:p w:rsidR="008423E4" w:rsidRPr="0022177D" w:rsidRDefault="007D7D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D7D1A" w:rsidP="008423E4">
      <w:pPr>
        <w:jc w:val="center"/>
      </w:pPr>
    </w:p>
    <w:p w:rsidR="008423E4" w:rsidRPr="00B31F0E" w:rsidRDefault="007D7D1A" w:rsidP="008423E4"/>
    <w:p w:rsidR="008423E4" w:rsidRPr="00742794" w:rsidRDefault="007D7D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0228" w:rsidTr="00345119">
        <w:tc>
          <w:tcPr>
            <w:tcW w:w="9576" w:type="dxa"/>
          </w:tcPr>
          <w:p w:rsidR="008423E4" w:rsidRPr="00861995" w:rsidRDefault="007D7D1A" w:rsidP="00345119">
            <w:pPr>
              <w:jc w:val="right"/>
            </w:pPr>
            <w:r>
              <w:t>C.S.H.B. 332</w:t>
            </w:r>
          </w:p>
        </w:tc>
      </w:tr>
      <w:tr w:rsidR="00D80228" w:rsidTr="00345119">
        <w:tc>
          <w:tcPr>
            <w:tcW w:w="9576" w:type="dxa"/>
          </w:tcPr>
          <w:p w:rsidR="008423E4" w:rsidRPr="00861995" w:rsidRDefault="007D7D1A" w:rsidP="00D37BD5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D80228" w:rsidTr="00345119">
        <w:tc>
          <w:tcPr>
            <w:tcW w:w="9576" w:type="dxa"/>
          </w:tcPr>
          <w:p w:rsidR="008423E4" w:rsidRPr="00861995" w:rsidRDefault="007D7D1A" w:rsidP="00345119">
            <w:pPr>
              <w:jc w:val="right"/>
            </w:pPr>
            <w:r>
              <w:t>Elections</w:t>
            </w:r>
          </w:p>
        </w:tc>
      </w:tr>
      <w:tr w:rsidR="00D80228" w:rsidTr="00345119">
        <w:tc>
          <w:tcPr>
            <w:tcW w:w="9576" w:type="dxa"/>
          </w:tcPr>
          <w:p w:rsidR="008423E4" w:rsidRDefault="007D7D1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D7D1A" w:rsidP="008423E4">
      <w:pPr>
        <w:tabs>
          <w:tab w:val="right" w:pos="9360"/>
        </w:tabs>
      </w:pPr>
    </w:p>
    <w:p w:rsidR="008423E4" w:rsidRDefault="007D7D1A" w:rsidP="008423E4"/>
    <w:p w:rsidR="008423E4" w:rsidRDefault="007D7D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80228" w:rsidTr="00D37BD5">
        <w:tc>
          <w:tcPr>
            <w:tcW w:w="9582" w:type="dxa"/>
          </w:tcPr>
          <w:p w:rsidR="008423E4" w:rsidRPr="00A8133F" w:rsidRDefault="007D7D1A" w:rsidP="00E0660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D7D1A" w:rsidP="00E06605"/>
          <w:p w:rsidR="008423E4" w:rsidRDefault="007D7D1A" w:rsidP="00E066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School</w:t>
            </w:r>
            <w:r w:rsidRPr="00E35994">
              <w:t xml:space="preserve"> buildings are a common choice for polling </w:t>
            </w:r>
            <w:r>
              <w:t xml:space="preserve">place </w:t>
            </w:r>
            <w:r w:rsidRPr="00E35994">
              <w:t>locations because of their accessibility</w:t>
            </w:r>
            <w:r>
              <w:t xml:space="preserve"> but </w:t>
            </w:r>
            <w:r>
              <w:t>i</w:t>
            </w:r>
            <w:r w:rsidRPr="00E35994">
              <w:t>nterested parties have expressed concern</w:t>
            </w:r>
            <w:r w:rsidRPr="00E35994">
              <w:t xml:space="preserve"> that school</w:t>
            </w:r>
            <w:r>
              <w:t>s</w:t>
            </w:r>
            <w:r w:rsidRPr="00E35994">
              <w:t xml:space="preserve"> might </w:t>
            </w:r>
            <w:r>
              <w:t>lack sufficient security measures on regular school days</w:t>
            </w:r>
            <w:r w:rsidRPr="00E35994">
              <w:t xml:space="preserve"> during </w:t>
            </w:r>
            <w:r>
              <w:t>an</w:t>
            </w:r>
            <w:r w:rsidRPr="00E35994">
              <w:t xml:space="preserve"> </w:t>
            </w:r>
            <w:r>
              <w:t>early voting period or</w:t>
            </w:r>
            <w:r>
              <w:t xml:space="preserve"> on</w:t>
            </w:r>
            <w:r>
              <w:t xml:space="preserve"> </w:t>
            </w:r>
            <w:r w:rsidRPr="00E35994">
              <w:t xml:space="preserve">election day. </w:t>
            </w:r>
            <w:r>
              <w:t>C.S.</w:t>
            </w:r>
            <w:r w:rsidRPr="00E35994">
              <w:t xml:space="preserve">H.B. 332 seeks to </w:t>
            </w:r>
            <w:r w:rsidRPr="00E35994">
              <w:t>improv</w:t>
            </w:r>
            <w:r>
              <w:t>e</w:t>
            </w:r>
            <w:r w:rsidRPr="00E35994">
              <w:t xml:space="preserve"> </w:t>
            </w:r>
            <w:r>
              <w:t xml:space="preserve">school security </w:t>
            </w:r>
            <w:r w:rsidRPr="00E35994">
              <w:t>during elections</w:t>
            </w:r>
            <w:r>
              <w:t xml:space="preserve"> by requiring </w:t>
            </w:r>
            <w:r>
              <w:t xml:space="preserve">a </w:t>
            </w:r>
            <w:r>
              <w:t xml:space="preserve">public </w:t>
            </w:r>
            <w:r>
              <w:t xml:space="preserve">school district to </w:t>
            </w:r>
            <w:r>
              <w:t xml:space="preserve">include in </w:t>
            </w:r>
            <w:r>
              <w:t>its</w:t>
            </w:r>
            <w:r>
              <w:t xml:space="preserve"> mul</w:t>
            </w:r>
            <w:r>
              <w:t>t</w:t>
            </w:r>
            <w:r>
              <w:t>i</w:t>
            </w:r>
            <w:r>
              <w:t xml:space="preserve">hazard emergency operations plan a policy for </w:t>
            </w:r>
            <w:r>
              <w:t xml:space="preserve">school </w:t>
            </w:r>
            <w:r>
              <w:t xml:space="preserve">district </w:t>
            </w:r>
            <w:r>
              <w:t xml:space="preserve">property </w:t>
            </w:r>
            <w:r>
              <w:t xml:space="preserve">used </w:t>
            </w:r>
            <w:r>
              <w:t xml:space="preserve">as </w:t>
            </w:r>
            <w:r>
              <w:t xml:space="preserve">a </w:t>
            </w:r>
            <w:r>
              <w:t>polling place</w:t>
            </w:r>
            <w:r w:rsidRPr="00E35994">
              <w:t>.</w:t>
            </w:r>
          </w:p>
          <w:p w:rsidR="008423E4" w:rsidRPr="00E26B13" w:rsidRDefault="007D7D1A" w:rsidP="00E06605">
            <w:pPr>
              <w:rPr>
                <w:b/>
              </w:rPr>
            </w:pPr>
          </w:p>
        </w:tc>
      </w:tr>
      <w:tr w:rsidR="00D80228" w:rsidTr="00D37BD5">
        <w:tc>
          <w:tcPr>
            <w:tcW w:w="9582" w:type="dxa"/>
          </w:tcPr>
          <w:p w:rsidR="0017725B" w:rsidRDefault="007D7D1A" w:rsidP="00E066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D7D1A" w:rsidP="00E06605">
            <w:pPr>
              <w:rPr>
                <w:b/>
                <w:u w:val="single"/>
              </w:rPr>
            </w:pPr>
          </w:p>
          <w:p w:rsidR="009C3900" w:rsidRPr="009C3900" w:rsidRDefault="007D7D1A" w:rsidP="00E06605">
            <w:pPr>
              <w:jc w:val="both"/>
            </w:pPr>
            <w:r>
              <w:t>It is the committee's opinion that this bill does not expressly create a criminal offense, increase the punishment for an existing cr</w:t>
            </w:r>
            <w:r>
              <w:t>iminal offense or category of offenses, or change the eligibility of a person for community supervision, parole, or mandatory supervision.</w:t>
            </w:r>
          </w:p>
          <w:p w:rsidR="0017725B" w:rsidRPr="0017725B" w:rsidRDefault="007D7D1A" w:rsidP="00E06605">
            <w:pPr>
              <w:rPr>
                <w:b/>
                <w:u w:val="single"/>
              </w:rPr>
            </w:pPr>
          </w:p>
        </w:tc>
      </w:tr>
      <w:tr w:rsidR="00D80228" w:rsidTr="00D37BD5">
        <w:tc>
          <w:tcPr>
            <w:tcW w:w="9582" w:type="dxa"/>
          </w:tcPr>
          <w:p w:rsidR="008423E4" w:rsidRPr="00A8133F" w:rsidRDefault="007D7D1A" w:rsidP="00E0660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D7D1A" w:rsidP="00E06605"/>
          <w:p w:rsidR="009F7EBE" w:rsidRDefault="007D7D1A" w:rsidP="00E066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</w:t>
            </w:r>
            <w:r>
              <w:t>ing authority to a state officer, department, agency, or institution.</w:t>
            </w:r>
          </w:p>
          <w:p w:rsidR="008423E4" w:rsidRPr="00E21FDC" w:rsidRDefault="007D7D1A" w:rsidP="00E0660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80228" w:rsidTr="00D37BD5">
        <w:tc>
          <w:tcPr>
            <w:tcW w:w="9582" w:type="dxa"/>
          </w:tcPr>
          <w:p w:rsidR="008423E4" w:rsidRPr="00A8133F" w:rsidRDefault="007D7D1A" w:rsidP="00E0660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D7D1A" w:rsidP="00E06605"/>
          <w:p w:rsidR="002B4C87" w:rsidRDefault="007D7D1A" w:rsidP="00E06605">
            <w:pPr>
              <w:pStyle w:val="Header"/>
              <w:jc w:val="both"/>
            </w:pPr>
            <w:r>
              <w:t>C.S.</w:t>
            </w:r>
            <w:r>
              <w:t xml:space="preserve">H.B. 332 amends the Education Code to require a </w:t>
            </w:r>
            <w:r>
              <w:t xml:space="preserve">public </w:t>
            </w:r>
            <w:r>
              <w:t>school district to</w:t>
            </w:r>
            <w:r w:rsidRPr="005E4104">
              <w:t xml:space="preserve"> </w:t>
            </w:r>
            <w:r>
              <w:t xml:space="preserve">include in </w:t>
            </w:r>
            <w:r>
              <w:t>its</w:t>
            </w:r>
            <w:r>
              <w:t xml:space="preserve"> multihazard emergency operations plan a policy</w:t>
            </w:r>
            <w:r w:rsidRPr="005E4104">
              <w:t xml:space="preserve"> for school district property selected for use as a polling place</w:t>
            </w:r>
            <w:r>
              <w:t xml:space="preserve">. </w:t>
            </w:r>
            <w:r>
              <w:t xml:space="preserve">The bill </w:t>
            </w:r>
            <w:r>
              <w:t xml:space="preserve">authorizes </w:t>
            </w:r>
            <w:r>
              <w:t>the board of trustees</w:t>
            </w:r>
            <w:r>
              <w:t xml:space="preserve"> of the district</w:t>
            </w:r>
            <w:r>
              <w:t xml:space="preserve">, in developing the </w:t>
            </w:r>
            <w:r>
              <w:t>policy</w:t>
            </w:r>
            <w:r>
              <w:t>, to consult with the local law enforcement agency with jurisdiction over the school district property sel</w:t>
            </w:r>
            <w:r>
              <w:t xml:space="preserve">ected as a polling place regarding reasonable security accommodations that may be made to the property. The bill prohibits </w:t>
            </w:r>
            <w:r>
              <w:t xml:space="preserve">the </w:t>
            </w:r>
            <w:r>
              <w:t>interpretation of its provisions to</w:t>
            </w:r>
            <w:r>
              <w:t xml:space="preserve"> </w:t>
            </w:r>
            <w:r>
              <w:t>require</w:t>
            </w:r>
            <w:r w:rsidRPr="00F40974">
              <w:t xml:space="preserve"> </w:t>
            </w:r>
            <w:r w:rsidRPr="00F40974">
              <w:t xml:space="preserve">the board of trustees to obtain or contract for the presence of law enforcement or </w:t>
            </w:r>
            <w:r w:rsidRPr="00F40974">
              <w:t>security personnel for the purpose of securing a polling place located on school district property.</w:t>
            </w:r>
            <w:r>
              <w:t xml:space="preserve"> </w:t>
            </w:r>
            <w:r>
              <w:t>The bill establ</w:t>
            </w:r>
            <w:r>
              <w:t>ishes that failure</w:t>
            </w:r>
            <w:r w:rsidRPr="00F40974">
              <w:t xml:space="preserve"> to comply with </w:t>
            </w:r>
            <w:r>
              <w:t>the bill's provisions</w:t>
            </w:r>
            <w:r w:rsidRPr="00F40974">
              <w:t xml:space="preserve"> does not affect the requirement of the board of trustees to make a school facility av</w:t>
            </w:r>
            <w:r w:rsidRPr="00F40974">
              <w:t>ailabl</w:t>
            </w:r>
            <w:r>
              <w:t>e for use as a polling place</w:t>
            </w:r>
            <w:r w:rsidRPr="00F40974">
              <w:t>.</w:t>
            </w:r>
            <w:r>
              <w:t xml:space="preserve"> </w:t>
            </w:r>
          </w:p>
          <w:p w:rsidR="002B4C87" w:rsidRPr="00C5115E" w:rsidRDefault="007D7D1A" w:rsidP="00E06605">
            <w:pPr>
              <w:pStyle w:val="Header"/>
              <w:jc w:val="both"/>
            </w:pPr>
          </w:p>
        </w:tc>
      </w:tr>
      <w:tr w:rsidR="00D80228" w:rsidTr="00D37BD5">
        <w:tc>
          <w:tcPr>
            <w:tcW w:w="9582" w:type="dxa"/>
          </w:tcPr>
          <w:p w:rsidR="008423E4" w:rsidRPr="00A8133F" w:rsidRDefault="007D7D1A" w:rsidP="00E0660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D7D1A" w:rsidP="00E06605"/>
          <w:p w:rsidR="008423E4" w:rsidRDefault="007D7D1A" w:rsidP="00E066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D7D1A" w:rsidP="00E06605">
            <w:pPr>
              <w:rPr>
                <w:b/>
              </w:rPr>
            </w:pPr>
          </w:p>
        </w:tc>
      </w:tr>
      <w:tr w:rsidR="00D80228" w:rsidTr="00D37BD5">
        <w:tc>
          <w:tcPr>
            <w:tcW w:w="9582" w:type="dxa"/>
          </w:tcPr>
          <w:p w:rsidR="00D37BD5" w:rsidRDefault="007D7D1A" w:rsidP="00E0660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32EA3" w:rsidRDefault="007D7D1A" w:rsidP="00E06605">
            <w:pPr>
              <w:jc w:val="both"/>
            </w:pPr>
          </w:p>
          <w:p w:rsidR="00D32EA3" w:rsidRDefault="007D7D1A" w:rsidP="00E06605">
            <w:pPr>
              <w:jc w:val="both"/>
            </w:pPr>
            <w:r>
              <w:t>While C.S.H.B. 332 may differ from the original in minor or nonsubstantive ways, the following comparison is organized and formatted in a ma</w:t>
            </w:r>
            <w:r>
              <w:t>nner that indicates the substantial differences between the introduced and committee substitute versions of the bill.</w:t>
            </w:r>
          </w:p>
          <w:p w:rsidR="00D32EA3" w:rsidRPr="00D32EA3" w:rsidRDefault="007D7D1A" w:rsidP="00E06605">
            <w:pPr>
              <w:jc w:val="both"/>
            </w:pPr>
          </w:p>
        </w:tc>
      </w:tr>
      <w:tr w:rsidR="00D80228" w:rsidTr="00D37BD5">
        <w:tc>
          <w:tcPr>
            <w:tcW w:w="9582" w:type="dxa"/>
          </w:tcPr>
          <w:p w:rsidR="00E06605" w:rsidRDefault="007D7D1A"/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D80228" w:rsidTr="00D37BD5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D37BD5" w:rsidRDefault="007D7D1A" w:rsidP="00E06605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D37BD5" w:rsidRDefault="007D7D1A" w:rsidP="00E06605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D80228" w:rsidTr="00D37BD5">
              <w:tc>
                <w:tcPr>
                  <w:tcW w:w="4673" w:type="dxa"/>
                  <w:tcMar>
                    <w:right w:w="360" w:type="dxa"/>
                  </w:tcMar>
                </w:tcPr>
                <w:p w:rsidR="00D37BD5" w:rsidRDefault="007D7D1A" w:rsidP="00E06605">
                  <w:pPr>
                    <w:jc w:val="both"/>
                  </w:pPr>
                  <w:r>
                    <w:t xml:space="preserve">SECTION 1.  Subchapter D, Chapter 37, Education Code, is amended by adding Section 37.111 to </w:t>
                  </w:r>
                  <w:r>
                    <w:t>read as follows:</w:t>
                  </w:r>
                </w:p>
                <w:p w:rsidR="00D37BD5" w:rsidRDefault="007D7D1A" w:rsidP="00E06605">
                  <w:pPr>
                    <w:jc w:val="both"/>
                  </w:pPr>
                  <w:r w:rsidRPr="00234D6B">
                    <w:rPr>
                      <w:highlight w:val="lightGray"/>
                      <w:u w:val="single"/>
                    </w:rPr>
                    <w:t>Sec. 37.111.  SECURITY GUIDELINES ESTABLISHED FOR POLLING PLACES LOCATED ON SCHOOL DISTRICT PROPERTY.  (a)  The board of trustees of a school district shall develop security guidelines</w:t>
                  </w:r>
                  <w:r>
                    <w:rPr>
                      <w:u w:val="single"/>
                    </w:rPr>
                    <w:t xml:space="preserve"> for school district property selected for use as a pol</w:t>
                  </w:r>
                  <w:r>
                    <w:rPr>
                      <w:u w:val="single"/>
                    </w:rPr>
                    <w:t>ling place under Section 43.031, Election Code.</w:t>
                  </w:r>
                </w:p>
                <w:p w:rsidR="00D37BD5" w:rsidRDefault="007D7D1A" w:rsidP="00E06605">
                  <w:pPr>
                    <w:jc w:val="both"/>
                  </w:pPr>
                  <w:r>
                    <w:rPr>
                      <w:u w:val="single"/>
                    </w:rPr>
                    <w:t xml:space="preserve">(b)  In developing </w:t>
                  </w:r>
                  <w:r w:rsidRPr="00234D6B">
                    <w:rPr>
                      <w:highlight w:val="lightGray"/>
                      <w:u w:val="single"/>
                    </w:rPr>
                    <w:t>guidelines</w:t>
                  </w:r>
                  <w:r w:rsidRPr="0029195E">
                    <w:rPr>
                      <w:u w:val="single"/>
                    </w:rPr>
                    <w:t xml:space="preserve"> under this section,</w:t>
                  </w:r>
                  <w:r>
                    <w:rPr>
                      <w:u w:val="single"/>
                    </w:rPr>
                    <w:t xml:space="preserve"> the board of trustees </w:t>
                  </w:r>
                  <w:r w:rsidRPr="00234D6B">
                    <w:rPr>
                      <w:highlight w:val="lightGray"/>
                      <w:u w:val="single"/>
                    </w:rPr>
                    <w:t>shall</w:t>
                  </w:r>
                  <w:r>
                    <w:rPr>
                      <w:u w:val="single"/>
                    </w:rPr>
                    <w:t xml:space="preserve"> consult with:</w:t>
                  </w:r>
                </w:p>
                <w:p w:rsidR="00D37BD5" w:rsidRDefault="007D7D1A" w:rsidP="00E06605">
                  <w:pPr>
                    <w:jc w:val="both"/>
                  </w:pPr>
                  <w:r>
                    <w:rPr>
                      <w:u w:val="single"/>
                    </w:rPr>
                    <w:t>(1)  the local law enforcement agency with jurisdiction over the school district property selected as a polling plac</w:t>
                  </w:r>
                  <w:r>
                    <w:rPr>
                      <w:u w:val="single"/>
                    </w:rPr>
                    <w:t>e, regarding reasonable security accommodations that may be made to the property; and</w:t>
                  </w:r>
                </w:p>
                <w:p w:rsidR="00D37BD5" w:rsidRDefault="007D7D1A" w:rsidP="00E06605">
                  <w:pPr>
                    <w:jc w:val="both"/>
                  </w:pPr>
                  <w:r w:rsidRPr="00234D6B">
                    <w:rPr>
                      <w:highlight w:val="lightGray"/>
                      <w:u w:val="single"/>
                    </w:rPr>
                    <w:t>(2)  the election administrator, regarding any polling place requirements that may affect the security guidelines.</w:t>
                  </w:r>
                </w:p>
                <w:p w:rsidR="00D37BD5" w:rsidRDefault="007D7D1A" w:rsidP="00E06605">
                  <w:pPr>
                    <w:jc w:val="both"/>
                    <w:rPr>
                      <w:u w:val="single"/>
                    </w:rPr>
                  </w:pPr>
                  <w:r w:rsidRPr="00DD1402">
                    <w:rPr>
                      <w:u w:val="single"/>
                    </w:rPr>
                    <w:t>(c)  Subsection (b)(1)</w:t>
                  </w:r>
                  <w:r>
                    <w:rPr>
                      <w:u w:val="single"/>
                    </w:rPr>
                    <w:t xml:space="preserve"> may not be interpreted to require the board of trustees to obtain or contract for the presence of law enforcement or security personnel for the purpose of securing a polling place located on school district property.</w:t>
                  </w:r>
                </w:p>
                <w:p w:rsidR="00D37BD5" w:rsidRPr="00234D6B" w:rsidRDefault="007D7D1A" w:rsidP="00E06605">
                  <w:pPr>
                    <w:jc w:val="both"/>
                    <w:rPr>
                      <w:highlight w:val="lightGray"/>
                    </w:rPr>
                  </w:pPr>
                  <w:r w:rsidRPr="00234D6B">
                    <w:rPr>
                      <w:highlight w:val="lightGray"/>
                      <w:u w:val="single"/>
                    </w:rPr>
                    <w:t>(d)  Not later than 48 hours before th</w:t>
                  </w:r>
                  <w:r w:rsidRPr="00234D6B">
                    <w:rPr>
                      <w:highlight w:val="lightGray"/>
                      <w:u w:val="single"/>
                    </w:rPr>
                    <w:t>e first day of voting held at the polling place:</w:t>
                  </w:r>
                </w:p>
                <w:p w:rsidR="00D37BD5" w:rsidRPr="00234D6B" w:rsidRDefault="007D7D1A" w:rsidP="00E06605">
                  <w:pPr>
                    <w:jc w:val="both"/>
                    <w:rPr>
                      <w:highlight w:val="lightGray"/>
                    </w:rPr>
                  </w:pPr>
                  <w:r w:rsidRPr="00234D6B">
                    <w:rPr>
                      <w:highlight w:val="lightGray"/>
                      <w:u w:val="single"/>
                    </w:rPr>
                    <w:t>(1)  the board of trustees must provide security guidelines to the local law enforcement agency with jurisdiction over the school district property selected as a polling place; and</w:t>
                  </w:r>
                </w:p>
                <w:p w:rsidR="00D37BD5" w:rsidRDefault="007D7D1A" w:rsidP="00E06605">
                  <w:pPr>
                    <w:jc w:val="both"/>
                    <w:rPr>
                      <w:u w:val="single"/>
                    </w:rPr>
                  </w:pPr>
                  <w:r w:rsidRPr="00234D6B">
                    <w:rPr>
                      <w:highlight w:val="lightGray"/>
                      <w:u w:val="single"/>
                    </w:rPr>
                    <w:t>(2)  the board of trustees</w:t>
                  </w:r>
                  <w:r w:rsidRPr="00234D6B">
                    <w:rPr>
                      <w:highlight w:val="lightGray"/>
                      <w:u w:val="single"/>
                    </w:rPr>
                    <w:t xml:space="preserve"> and the election administrator must jointly or separately file an affidavit with the secretary of state confirming security guidelines for the polling place have been developed.</w:t>
                  </w:r>
                </w:p>
                <w:p w:rsidR="00D37BD5" w:rsidRDefault="007D7D1A" w:rsidP="00E06605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(e)  Failure to comply w</w:t>
                  </w:r>
                  <w:r w:rsidRPr="002D11D7">
                    <w:rPr>
                      <w:u w:val="single"/>
                    </w:rPr>
                    <w:t>ith this section doe</w:t>
                  </w:r>
                  <w:r>
                    <w:rPr>
                      <w:u w:val="single"/>
                    </w:rPr>
                    <w:t>s not affect the requirement of t</w:t>
                  </w:r>
                  <w:r>
                    <w:rPr>
                      <w:u w:val="single"/>
                    </w:rPr>
                    <w:t>he board of trustees to make a school facility available for use as a polling place under Section 43.031, Election Code.</w:t>
                  </w:r>
                </w:p>
                <w:p w:rsidR="00D37BD5" w:rsidRDefault="007D7D1A" w:rsidP="00E06605">
                  <w:pPr>
                    <w:jc w:val="both"/>
                  </w:pPr>
                  <w:r w:rsidRPr="00234D6B">
                    <w:rPr>
                      <w:highlight w:val="lightGray"/>
                      <w:u w:val="single"/>
                    </w:rPr>
                    <w:t>(f)  The secretary of state shall prescribe the form of the affidavit required by this section and adopt rules for the administration o</w:t>
                  </w:r>
                  <w:r w:rsidRPr="00234D6B">
                    <w:rPr>
                      <w:highlight w:val="lightGray"/>
                      <w:u w:val="single"/>
                    </w:rPr>
                    <w:t>f this section.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B3241" w:rsidRDefault="007D7D1A" w:rsidP="00E06605">
                  <w:pPr>
                    <w:jc w:val="both"/>
                  </w:pPr>
                  <w:r>
                    <w:t>SECTION 1.  Section 37.108, Education Code, is amended by adding Subsection (e) to read as follows:</w:t>
                  </w:r>
                </w:p>
                <w:p w:rsidR="00EB3241" w:rsidRDefault="007D7D1A" w:rsidP="00E06605">
                  <w:pPr>
                    <w:jc w:val="both"/>
                  </w:pPr>
                </w:p>
                <w:p w:rsidR="00EB3241" w:rsidRDefault="007D7D1A" w:rsidP="00E06605">
                  <w:pPr>
                    <w:jc w:val="both"/>
                  </w:pPr>
                </w:p>
                <w:p w:rsidR="00EB3241" w:rsidRDefault="007D7D1A" w:rsidP="00E06605">
                  <w:pPr>
                    <w:jc w:val="both"/>
                  </w:pPr>
                </w:p>
                <w:p w:rsidR="00EB3241" w:rsidRDefault="007D7D1A" w:rsidP="00E06605">
                  <w:pPr>
                    <w:jc w:val="both"/>
                    <w:rPr>
                      <w:u w:val="single"/>
                    </w:rPr>
                  </w:pPr>
                  <w:r w:rsidRPr="00234D6B">
                    <w:rPr>
                      <w:highlight w:val="lightGray"/>
                      <w:u w:val="single"/>
                    </w:rPr>
                    <w:t>(e)  A school district shall include in its multihazard emergency operations plan a policy</w:t>
                  </w:r>
                  <w:r>
                    <w:rPr>
                      <w:u w:val="single"/>
                    </w:rPr>
                    <w:t xml:space="preserve"> for school district property selected for use as a polling place under Section 43.031, Election Code.  </w:t>
                  </w:r>
                </w:p>
                <w:p w:rsidR="0029195E" w:rsidRDefault="007D7D1A" w:rsidP="00E06605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In developing </w:t>
                  </w:r>
                  <w:r w:rsidRPr="00234D6B">
                    <w:rPr>
                      <w:highlight w:val="lightGray"/>
                      <w:u w:val="single"/>
                    </w:rPr>
                    <w:t>the policy</w:t>
                  </w:r>
                  <w:r w:rsidRPr="0029195E">
                    <w:rPr>
                      <w:u w:val="single"/>
                    </w:rPr>
                    <w:t xml:space="preserve"> under this subsection,</w:t>
                  </w:r>
                  <w:r>
                    <w:rPr>
                      <w:u w:val="single"/>
                    </w:rPr>
                    <w:t xml:space="preserve"> the board of trustees </w:t>
                  </w:r>
                  <w:r w:rsidRPr="00234D6B">
                    <w:rPr>
                      <w:highlight w:val="lightGray"/>
                      <w:u w:val="single"/>
                    </w:rPr>
                    <w:t>may</w:t>
                  </w:r>
                  <w:r>
                    <w:rPr>
                      <w:u w:val="single"/>
                    </w:rPr>
                    <w:t xml:space="preserve"> consult with </w:t>
                  </w:r>
                </w:p>
                <w:p w:rsidR="00EB3241" w:rsidRDefault="007D7D1A" w:rsidP="00E06605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the local law enforcement agency with jurisdiction over the sch</w:t>
                  </w:r>
                  <w:r>
                    <w:rPr>
                      <w:u w:val="single"/>
                    </w:rPr>
                    <w:t xml:space="preserve">ool district property selected as a polling place regarding reasonable security accommodations that may be made to the property.  </w:t>
                  </w:r>
                </w:p>
                <w:p w:rsidR="00EB3241" w:rsidRDefault="007D7D1A" w:rsidP="00E06605">
                  <w:pPr>
                    <w:jc w:val="both"/>
                    <w:rPr>
                      <w:u w:val="single"/>
                    </w:rPr>
                  </w:pPr>
                </w:p>
                <w:p w:rsidR="00EB3241" w:rsidRDefault="007D7D1A" w:rsidP="00E06605">
                  <w:pPr>
                    <w:jc w:val="both"/>
                    <w:rPr>
                      <w:u w:val="single"/>
                    </w:rPr>
                  </w:pPr>
                </w:p>
                <w:p w:rsidR="00EB3241" w:rsidRDefault="007D7D1A" w:rsidP="00E06605">
                  <w:pPr>
                    <w:jc w:val="both"/>
                    <w:rPr>
                      <w:u w:val="single"/>
                    </w:rPr>
                  </w:pPr>
                </w:p>
                <w:p w:rsidR="00EB3241" w:rsidRDefault="007D7D1A" w:rsidP="00E06605">
                  <w:pPr>
                    <w:jc w:val="both"/>
                    <w:rPr>
                      <w:u w:val="single"/>
                    </w:rPr>
                  </w:pPr>
                  <w:r w:rsidRPr="00DD1402">
                    <w:rPr>
                      <w:u w:val="single"/>
                    </w:rPr>
                    <w:t>This subsection m</w:t>
                  </w:r>
                  <w:r>
                    <w:rPr>
                      <w:u w:val="single"/>
                    </w:rPr>
                    <w:t>ay not be interpreted to require the board of trustees to obtain or contract for the presence of law enfo</w:t>
                  </w:r>
                  <w:r>
                    <w:rPr>
                      <w:u w:val="single"/>
                    </w:rPr>
                    <w:t xml:space="preserve">rcement or security personnel for the purpose of securing a polling place located on school district property.  </w:t>
                  </w:r>
                </w:p>
                <w:p w:rsidR="00EB3241" w:rsidRDefault="007D7D1A" w:rsidP="00E06605">
                  <w:pPr>
                    <w:jc w:val="both"/>
                    <w:rPr>
                      <w:u w:val="single"/>
                    </w:rPr>
                  </w:pPr>
                </w:p>
                <w:p w:rsidR="00EB3241" w:rsidRDefault="007D7D1A" w:rsidP="00E06605">
                  <w:pPr>
                    <w:jc w:val="both"/>
                    <w:rPr>
                      <w:u w:val="single"/>
                    </w:rPr>
                  </w:pPr>
                </w:p>
                <w:p w:rsidR="00EB3241" w:rsidRDefault="007D7D1A" w:rsidP="00E06605">
                  <w:pPr>
                    <w:jc w:val="both"/>
                    <w:rPr>
                      <w:u w:val="single"/>
                    </w:rPr>
                  </w:pPr>
                </w:p>
                <w:p w:rsidR="00EB3241" w:rsidRDefault="007D7D1A" w:rsidP="00E06605">
                  <w:pPr>
                    <w:jc w:val="both"/>
                    <w:rPr>
                      <w:u w:val="single"/>
                    </w:rPr>
                  </w:pPr>
                </w:p>
                <w:p w:rsidR="00EB3241" w:rsidRDefault="007D7D1A" w:rsidP="00E06605">
                  <w:pPr>
                    <w:jc w:val="both"/>
                    <w:rPr>
                      <w:u w:val="single"/>
                    </w:rPr>
                  </w:pPr>
                </w:p>
                <w:p w:rsidR="00EB3241" w:rsidRDefault="007D7D1A" w:rsidP="00E06605">
                  <w:pPr>
                    <w:jc w:val="both"/>
                    <w:rPr>
                      <w:u w:val="single"/>
                    </w:rPr>
                  </w:pPr>
                </w:p>
                <w:p w:rsidR="00EB3241" w:rsidRDefault="007D7D1A" w:rsidP="00E06605">
                  <w:pPr>
                    <w:jc w:val="both"/>
                    <w:rPr>
                      <w:u w:val="single"/>
                    </w:rPr>
                  </w:pPr>
                </w:p>
                <w:p w:rsidR="00EB3241" w:rsidRDefault="007D7D1A" w:rsidP="00E06605">
                  <w:pPr>
                    <w:jc w:val="both"/>
                    <w:rPr>
                      <w:u w:val="single"/>
                    </w:rPr>
                  </w:pPr>
                </w:p>
                <w:p w:rsidR="00EB3241" w:rsidRDefault="007D7D1A" w:rsidP="00E06605">
                  <w:pPr>
                    <w:jc w:val="both"/>
                    <w:rPr>
                      <w:u w:val="single"/>
                    </w:rPr>
                  </w:pPr>
                </w:p>
                <w:p w:rsidR="00EB3241" w:rsidRDefault="007D7D1A" w:rsidP="00E06605">
                  <w:pPr>
                    <w:jc w:val="both"/>
                    <w:rPr>
                      <w:u w:val="single"/>
                    </w:rPr>
                  </w:pPr>
                </w:p>
                <w:p w:rsidR="002D11D7" w:rsidRDefault="007D7D1A" w:rsidP="00E06605">
                  <w:pPr>
                    <w:jc w:val="both"/>
                    <w:rPr>
                      <w:u w:val="single"/>
                    </w:rPr>
                  </w:pPr>
                </w:p>
                <w:p w:rsidR="002D11D7" w:rsidRDefault="007D7D1A" w:rsidP="00E06605">
                  <w:pPr>
                    <w:jc w:val="both"/>
                    <w:rPr>
                      <w:u w:val="single"/>
                    </w:rPr>
                  </w:pPr>
                </w:p>
                <w:p w:rsidR="00EB3241" w:rsidRDefault="007D7D1A" w:rsidP="00E06605">
                  <w:pPr>
                    <w:jc w:val="both"/>
                  </w:pPr>
                  <w:r>
                    <w:rPr>
                      <w:u w:val="single"/>
                    </w:rPr>
                    <w:t>Failure to comply with thi</w:t>
                  </w:r>
                  <w:r w:rsidRPr="002D11D7">
                    <w:rPr>
                      <w:u w:val="single"/>
                    </w:rPr>
                    <w:t>s subsection do</w:t>
                  </w:r>
                  <w:r>
                    <w:rPr>
                      <w:u w:val="single"/>
                    </w:rPr>
                    <w:t>es not affect the requirement of the board of trustees to make a school facility available</w:t>
                  </w:r>
                  <w:r>
                    <w:rPr>
                      <w:u w:val="single"/>
                    </w:rPr>
                    <w:t xml:space="preserve"> for use as a polling place under Section 43.031, Election Code.</w:t>
                  </w:r>
                </w:p>
                <w:p w:rsidR="00D37BD5" w:rsidRDefault="007D7D1A" w:rsidP="00E06605">
                  <w:pPr>
                    <w:jc w:val="both"/>
                  </w:pPr>
                </w:p>
                <w:p w:rsidR="00D37BD5" w:rsidRDefault="007D7D1A" w:rsidP="00E06605">
                  <w:pPr>
                    <w:jc w:val="both"/>
                  </w:pPr>
                </w:p>
              </w:tc>
            </w:tr>
            <w:tr w:rsidR="00D80228" w:rsidTr="00D37BD5">
              <w:tc>
                <w:tcPr>
                  <w:tcW w:w="4673" w:type="dxa"/>
                  <w:tcMar>
                    <w:right w:w="360" w:type="dxa"/>
                  </w:tcMar>
                </w:tcPr>
                <w:p w:rsidR="00D37BD5" w:rsidRDefault="007D7D1A" w:rsidP="00E06605">
                  <w:pPr>
                    <w:jc w:val="both"/>
                  </w:pPr>
                  <w:r>
                    <w:t>SECTION 2.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37BD5" w:rsidRDefault="007D7D1A" w:rsidP="00E06605">
                  <w:pPr>
                    <w:jc w:val="both"/>
                  </w:pPr>
                  <w:r>
                    <w:t>SECTION 2. Same as introduced version.</w:t>
                  </w:r>
                </w:p>
                <w:p w:rsidR="00D37BD5" w:rsidRDefault="007D7D1A" w:rsidP="00E06605">
                  <w:pPr>
                    <w:jc w:val="both"/>
                  </w:pPr>
                </w:p>
              </w:tc>
            </w:tr>
          </w:tbl>
          <w:p w:rsidR="00D37BD5" w:rsidRDefault="007D7D1A" w:rsidP="00E06605">
            <w:pPr>
              <w:rPr>
                <w:b/>
                <w:u w:val="single"/>
              </w:rPr>
            </w:pPr>
          </w:p>
        </w:tc>
      </w:tr>
    </w:tbl>
    <w:p w:rsidR="004108C3" w:rsidRPr="00E06605" w:rsidRDefault="007D7D1A" w:rsidP="00E06605">
      <w:pPr>
        <w:tabs>
          <w:tab w:val="left" w:pos="1905"/>
        </w:tabs>
      </w:pPr>
    </w:p>
    <w:sectPr w:rsidR="004108C3" w:rsidRPr="00E0660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7D1A">
      <w:r>
        <w:separator/>
      </w:r>
    </w:p>
  </w:endnote>
  <w:endnote w:type="continuationSeparator" w:id="0">
    <w:p w:rsidR="00000000" w:rsidRDefault="007D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D4" w:rsidRDefault="007D7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0228" w:rsidTr="009C1E9A">
      <w:trPr>
        <w:cantSplit/>
      </w:trPr>
      <w:tc>
        <w:tcPr>
          <w:tcW w:w="0" w:type="pct"/>
        </w:tcPr>
        <w:p w:rsidR="00137D90" w:rsidRDefault="007D7D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D7D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D7D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D7D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D7D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0228" w:rsidTr="009C1E9A">
      <w:trPr>
        <w:cantSplit/>
      </w:trPr>
      <w:tc>
        <w:tcPr>
          <w:tcW w:w="0" w:type="pct"/>
        </w:tcPr>
        <w:p w:rsidR="00EC379B" w:rsidRDefault="007D7D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D7D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24531</w:t>
          </w:r>
        </w:p>
      </w:tc>
      <w:tc>
        <w:tcPr>
          <w:tcW w:w="2453" w:type="pct"/>
        </w:tcPr>
        <w:p w:rsidR="00EC379B" w:rsidRDefault="007D7D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17.109.178</w:t>
          </w:r>
          <w:r>
            <w:fldChar w:fldCharType="end"/>
          </w:r>
        </w:p>
      </w:tc>
    </w:tr>
    <w:tr w:rsidR="00D80228" w:rsidTr="009C1E9A">
      <w:trPr>
        <w:cantSplit/>
      </w:trPr>
      <w:tc>
        <w:tcPr>
          <w:tcW w:w="0" w:type="pct"/>
        </w:tcPr>
        <w:p w:rsidR="00EC379B" w:rsidRDefault="007D7D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D7D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21884</w:t>
          </w:r>
        </w:p>
      </w:tc>
      <w:tc>
        <w:tcPr>
          <w:tcW w:w="2453" w:type="pct"/>
        </w:tcPr>
        <w:p w:rsidR="00EC379B" w:rsidRDefault="007D7D1A" w:rsidP="006D504F">
          <w:pPr>
            <w:pStyle w:val="Footer"/>
            <w:rPr>
              <w:rStyle w:val="PageNumber"/>
            </w:rPr>
          </w:pPr>
        </w:p>
        <w:p w:rsidR="00EC379B" w:rsidRDefault="007D7D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02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D7D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D7D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D7D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D4" w:rsidRDefault="007D7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7D1A">
      <w:r>
        <w:separator/>
      </w:r>
    </w:p>
  </w:footnote>
  <w:footnote w:type="continuationSeparator" w:id="0">
    <w:p w:rsidR="00000000" w:rsidRDefault="007D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D4" w:rsidRDefault="007D7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D4" w:rsidRDefault="007D7D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D4" w:rsidRDefault="007D7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28"/>
    <w:rsid w:val="007D7D1A"/>
    <w:rsid w:val="00D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3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3900"/>
  </w:style>
  <w:style w:type="paragraph" w:styleId="CommentSubject">
    <w:name w:val="annotation subject"/>
    <w:basedOn w:val="CommentText"/>
    <w:next w:val="CommentText"/>
    <w:link w:val="CommentSubjectChar"/>
    <w:rsid w:val="009C3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900"/>
    <w:rPr>
      <w:b/>
      <w:bCs/>
    </w:rPr>
  </w:style>
  <w:style w:type="paragraph" w:styleId="Revision">
    <w:name w:val="Revision"/>
    <w:hidden/>
    <w:uiPriority w:val="99"/>
    <w:semiHidden/>
    <w:rsid w:val="008A48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3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3900"/>
  </w:style>
  <w:style w:type="paragraph" w:styleId="CommentSubject">
    <w:name w:val="annotation subject"/>
    <w:basedOn w:val="CommentText"/>
    <w:next w:val="CommentText"/>
    <w:link w:val="CommentSubjectChar"/>
    <w:rsid w:val="009C3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900"/>
    <w:rPr>
      <w:b/>
      <w:bCs/>
    </w:rPr>
  </w:style>
  <w:style w:type="paragraph" w:styleId="Revision">
    <w:name w:val="Revision"/>
    <w:hidden/>
    <w:uiPriority w:val="99"/>
    <w:semiHidden/>
    <w:rsid w:val="008A48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4503</Characters>
  <Application>Microsoft Office Word</Application>
  <DocSecurity>4</DocSecurity>
  <Lines>158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HB00332 (Committee Report (Substituted))</vt:lpstr>
    </vt:vector>
  </TitlesOfParts>
  <Company>State of Texas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24531</dc:subject>
  <dc:creator>State of Texas</dc:creator>
  <dc:description>HB 332 by Meyer-(H)Elections (Substitute Document Number: 85R 21884)</dc:description>
  <cp:lastModifiedBy>Molly Hoffman-Bricker</cp:lastModifiedBy>
  <cp:revision>2</cp:revision>
  <cp:lastPrinted>2017-04-20T16:48:00Z</cp:lastPrinted>
  <dcterms:created xsi:type="dcterms:W3CDTF">2017-04-26T19:41:00Z</dcterms:created>
  <dcterms:modified xsi:type="dcterms:W3CDTF">2017-04-26T19:41:00Z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17.109.178</vt:lpwstr>
  </property>
</Properties>
</file>