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F1658" w:rsidTr="00345119">
        <w:tc>
          <w:tcPr>
            <w:tcW w:w="9576" w:type="dxa"/>
            <w:noWrap/>
          </w:tcPr>
          <w:p w:rsidR="008423E4" w:rsidRPr="0022177D" w:rsidRDefault="0058307C" w:rsidP="00345119">
            <w:pPr>
              <w:pStyle w:val="Heading1"/>
            </w:pPr>
            <w:bookmarkStart w:id="0" w:name="_GoBack"/>
            <w:bookmarkEnd w:id="0"/>
            <w:r w:rsidRPr="00631897">
              <w:t>BILL ANALYSIS</w:t>
            </w:r>
          </w:p>
        </w:tc>
      </w:tr>
    </w:tbl>
    <w:p w:rsidR="008423E4" w:rsidRPr="0022177D" w:rsidRDefault="0058307C" w:rsidP="008423E4">
      <w:pPr>
        <w:jc w:val="center"/>
      </w:pPr>
    </w:p>
    <w:p w:rsidR="008423E4" w:rsidRPr="00B31F0E" w:rsidRDefault="0058307C" w:rsidP="008423E4"/>
    <w:p w:rsidR="008423E4" w:rsidRPr="00742794" w:rsidRDefault="0058307C" w:rsidP="008423E4">
      <w:pPr>
        <w:tabs>
          <w:tab w:val="right" w:pos="9360"/>
        </w:tabs>
      </w:pPr>
    </w:p>
    <w:tbl>
      <w:tblPr>
        <w:tblW w:w="0" w:type="auto"/>
        <w:tblLayout w:type="fixed"/>
        <w:tblLook w:val="01E0" w:firstRow="1" w:lastRow="1" w:firstColumn="1" w:lastColumn="1" w:noHBand="0" w:noVBand="0"/>
      </w:tblPr>
      <w:tblGrid>
        <w:gridCol w:w="9576"/>
      </w:tblGrid>
      <w:tr w:rsidR="00FF1658" w:rsidTr="00345119">
        <w:tc>
          <w:tcPr>
            <w:tcW w:w="9576" w:type="dxa"/>
          </w:tcPr>
          <w:p w:rsidR="008423E4" w:rsidRPr="00861995" w:rsidRDefault="0058307C" w:rsidP="00345119">
            <w:pPr>
              <w:jc w:val="right"/>
            </w:pPr>
            <w:r>
              <w:t>C.S.H.B. 446</w:t>
            </w:r>
          </w:p>
        </w:tc>
      </w:tr>
      <w:tr w:rsidR="00FF1658" w:rsidTr="00345119">
        <w:tc>
          <w:tcPr>
            <w:tcW w:w="9576" w:type="dxa"/>
          </w:tcPr>
          <w:p w:rsidR="008423E4" w:rsidRPr="00861995" w:rsidRDefault="0058307C" w:rsidP="00CA04F3">
            <w:pPr>
              <w:jc w:val="right"/>
            </w:pPr>
            <w:r>
              <w:t xml:space="preserve">By: </w:t>
            </w:r>
            <w:r>
              <w:t>Bell</w:t>
            </w:r>
          </w:p>
        </w:tc>
      </w:tr>
      <w:tr w:rsidR="00FF1658" w:rsidTr="00345119">
        <w:tc>
          <w:tcPr>
            <w:tcW w:w="9576" w:type="dxa"/>
          </w:tcPr>
          <w:p w:rsidR="008423E4" w:rsidRPr="00861995" w:rsidRDefault="0058307C" w:rsidP="00345119">
            <w:pPr>
              <w:jc w:val="right"/>
            </w:pPr>
            <w:r>
              <w:t>Licensing &amp; Administrative Procedures</w:t>
            </w:r>
          </w:p>
        </w:tc>
      </w:tr>
      <w:tr w:rsidR="00FF1658" w:rsidTr="00345119">
        <w:tc>
          <w:tcPr>
            <w:tcW w:w="9576" w:type="dxa"/>
          </w:tcPr>
          <w:p w:rsidR="008423E4" w:rsidRDefault="0058307C" w:rsidP="00345119">
            <w:pPr>
              <w:jc w:val="right"/>
            </w:pPr>
            <w:r>
              <w:t>Committee Report (Substituted)</w:t>
            </w:r>
          </w:p>
        </w:tc>
      </w:tr>
    </w:tbl>
    <w:p w:rsidR="008423E4" w:rsidRDefault="0058307C" w:rsidP="008423E4">
      <w:pPr>
        <w:tabs>
          <w:tab w:val="right" w:pos="9360"/>
        </w:tabs>
      </w:pPr>
    </w:p>
    <w:p w:rsidR="008423E4" w:rsidRDefault="0058307C" w:rsidP="008423E4"/>
    <w:p w:rsidR="008423E4" w:rsidRDefault="0058307C" w:rsidP="008423E4"/>
    <w:tbl>
      <w:tblPr>
        <w:tblW w:w="0" w:type="auto"/>
        <w:tblCellMar>
          <w:left w:w="115" w:type="dxa"/>
          <w:right w:w="115" w:type="dxa"/>
        </w:tblCellMar>
        <w:tblLook w:val="01E0" w:firstRow="1" w:lastRow="1" w:firstColumn="1" w:lastColumn="1" w:noHBand="0" w:noVBand="0"/>
      </w:tblPr>
      <w:tblGrid>
        <w:gridCol w:w="9582"/>
      </w:tblGrid>
      <w:tr w:rsidR="00FF1658" w:rsidTr="00CA04F3">
        <w:tc>
          <w:tcPr>
            <w:tcW w:w="9582" w:type="dxa"/>
          </w:tcPr>
          <w:p w:rsidR="008423E4" w:rsidRPr="00A8133F" w:rsidRDefault="0058307C" w:rsidP="00D33A5B">
            <w:pPr>
              <w:rPr>
                <w:b/>
              </w:rPr>
            </w:pPr>
            <w:r w:rsidRPr="009C1E9A">
              <w:rPr>
                <w:b/>
                <w:u w:val="single"/>
              </w:rPr>
              <w:t>BACKGROUND AND PURPOSE</w:t>
            </w:r>
            <w:r>
              <w:rPr>
                <w:b/>
              </w:rPr>
              <w:t xml:space="preserve"> </w:t>
            </w:r>
          </w:p>
          <w:p w:rsidR="008423E4" w:rsidRDefault="0058307C" w:rsidP="00D33A5B"/>
          <w:p w:rsidR="008423E4" w:rsidRDefault="0058307C" w:rsidP="00D33A5B">
            <w:pPr>
              <w:pStyle w:val="Header"/>
              <w:tabs>
                <w:tab w:val="clear" w:pos="4320"/>
                <w:tab w:val="clear" w:pos="8640"/>
              </w:tabs>
              <w:jc w:val="both"/>
            </w:pPr>
            <w:r>
              <w:t>Concerns have been raised regarding the</w:t>
            </w:r>
            <w:r w:rsidRPr="002101D0">
              <w:t xml:space="preserve"> </w:t>
            </w:r>
            <w:r>
              <w:t>inability of certain organizations</w:t>
            </w:r>
            <w:r>
              <w:t>, particularly nonprofit organizations,</w:t>
            </w:r>
            <w:r>
              <w:t xml:space="preserve"> to receive a </w:t>
            </w:r>
            <w:r w:rsidRPr="002101D0">
              <w:t xml:space="preserve">refund </w:t>
            </w:r>
            <w:r>
              <w:t xml:space="preserve">of applicable bingo licensing and registration </w:t>
            </w:r>
            <w:r w:rsidRPr="002101D0">
              <w:t>fee</w:t>
            </w:r>
            <w:r>
              <w:t>s</w:t>
            </w:r>
            <w:r w:rsidRPr="002101D0">
              <w:t xml:space="preserve"> </w:t>
            </w:r>
            <w:r>
              <w:t>upon</w:t>
            </w:r>
            <w:r w:rsidRPr="002101D0">
              <w:t xml:space="preserve"> withdrawal </w:t>
            </w:r>
            <w:r>
              <w:t>of a</w:t>
            </w:r>
            <w:r>
              <w:t xml:space="preserve"> related</w:t>
            </w:r>
            <w:r>
              <w:t xml:space="preserve"> </w:t>
            </w:r>
            <w:r w:rsidRPr="002101D0">
              <w:t xml:space="preserve">application. </w:t>
            </w:r>
            <w:r>
              <w:t>C.S.</w:t>
            </w:r>
            <w:r>
              <w:t xml:space="preserve">H.B. 446 seeks to address </w:t>
            </w:r>
            <w:r>
              <w:t>these</w:t>
            </w:r>
            <w:r>
              <w:t xml:space="preserve"> concern</w:t>
            </w:r>
            <w:r>
              <w:t>s</w:t>
            </w:r>
            <w:r>
              <w:t xml:space="preserve"> by providing for </w:t>
            </w:r>
            <w:r>
              <w:t xml:space="preserve">the </w:t>
            </w:r>
            <w:r>
              <w:t xml:space="preserve">refund of such fees subject to certain </w:t>
            </w:r>
            <w:r>
              <w:t>conditions</w:t>
            </w:r>
            <w:r>
              <w:t>.</w:t>
            </w:r>
          </w:p>
          <w:p w:rsidR="008423E4" w:rsidRPr="00E26B13" w:rsidRDefault="0058307C" w:rsidP="00D33A5B">
            <w:pPr>
              <w:rPr>
                <w:b/>
              </w:rPr>
            </w:pPr>
          </w:p>
        </w:tc>
      </w:tr>
      <w:tr w:rsidR="00FF1658" w:rsidTr="00CA04F3">
        <w:tc>
          <w:tcPr>
            <w:tcW w:w="9582" w:type="dxa"/>
          </w:tcPr>
          <w:p w:rsidR="0017725B" w:rsidRDefault="0058307C" w:rsidP="00D33A5B">
            <w:pPr>
              <w:rPr>
                <w:b/>
                <w:u w:val="single"/>
              </w:rPr>
            </w:pPr>
            <w:r>
              <w:rPr>
                <w:b/>
                <w:u w:val="single"/>
              </w:rPr>
              <w:t>CRIMINAL JUSTICE IMPAC</w:t>
            </w:r>
            <w:r>
              <w:rPr>
                <w:b/>
                <w:u w:val="single"/>
              </w:rPr>
              <w:t>T</w:t>
            </w:r>
          </w:p>
          <w:p w:rsidR="0017725B" w:rsidRDefault="0058307C" w:rsidP="00D33A5B">
            <w:pPr>
              <w:rPr>
                <w:b/>
                <w:u w:val="single"/>
              </w:rPr>
            </w:pPr>
          </w:p>
          <w:p w:rsidR="00B35D62" w:rsidRPr="00B35D62" w:rsidRDefault="0058307C" w:rsidP="00D33A5B">
            <w:pPr>
              <w:jc w:val="both"/>
            </w:pPr>
            <w:r>
              <w:t>It is the committee's opinion that this bill does not expressly create a criminal offense, increase the punishment for an existing criminal offense or category of offenses, or change the eligibility of a person for community supervision, parole, or mand</w:t>
            </w:r>
            <w:r>
              <w:t>atory supervision.</w:t>
            </w:r>
          </w:p>
          <w:p w:rsidR="0017725B" w:rsidRPr="0017725B" w:rsidRDefault="0058307C" w:rsidP="00D33A5B">
            <w:pPr>
              <w:rPr>
                <w:b/>
                <w:u w:val="single"/>
              </w:rPr>
            </w:pPr>
          </w:p>
        </w:tc>
      </w:tr>
      <w:tr w:rsidR="00FF1658" w:rsidTr="00CA04F3">
        <w:tc>
          <w:tcPr>
            <w:tcW w:w="9582" w:type="dxa"/>
          </w:tcPr>
          <w:p w:rsidR="008423E4" w:rsidRPr="00A8133F" w:rsidRDefault="0058307C" w:rsidP="00D33A5B">
            <w:pPr>
              <w:rPr>
                <w:b/>
              </w:rPr>
            </w:pPr>
            <w:r w:rsidRPr="009C1E9A">
              <w:rPr>
                <w:b/>
                <w:u w:val="single"/>
              </w:rPr>
              <w:t>RULEMAKING AUTHORITY</w:t>
            </w:r>
            <w:r>
              <w:rPr>
                <w:b/>
              </w:rPr>
              <w:t xml:space="preserve"> </w:t>
            </w:r>
          </w:p>
          <w:p w:rsidR="008423E4" w:rsidRDefault="0058307C" w:rsidP="00D33A5B"/>
          <w:p w:rsidR="00B35D62" w:rsidRDefault="0058307C" w:rsidP="00D33A5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8307C" w:rsidP="00D33A5B">
            <w:pPr>
              <w:rPr>
                <w:b/>
              </w:rPr>
            </w:pPr>
          </w:p>
        </w:tc>
      </w:tr>
      <w:tr w:rsidR="00FF1658" w:rsidTr="00CA04F3">
        <w:tc>
          <w:tcPr>
            <w:tcW w:w="9582" w:type="dxa"/>
          </w:tcPr>
          <w:p w:rsidR="008423E4" w:rsidRPr="00A8133F" w:rsidRDefault="0058307C" w:rsidP="00D33A5B">
            <w:pPr>
              <w:rPr>
                <w:b/>
              </w:rPr>
            </w:pPr>
            <w:r w:rsidRPr="009C1E9A">
              <w:rPr>
                <w:b/>
                <w:u w:val="single"/>
              </w:rPr>
              <w:t>ANALYSIS</w:t>
            </w:r>
            <w:r>
              <w:rPr>
                <w:b/>
              </w:rPr>
              <w:t xml:space="preserve"> </w:t>
            </w:r>
          </w:p>
          <w:p w:rsidR="008423E4" w:rsidRDefault="0058307C" w:rsidP="00D33A5B"/>
          <w:p w:rsidR="00B35D62" w:rsidRDefault="0058307C" w:rsidP="00D33A5B">
            <w:pPr>
              <w:pStyle w:val="Header"/>
              <w:tabs>
                <w:tab w:val="clear" w:pos="4320"/>
                <w:tab w:val="clear" w:pos="8640"/>
              </w:tabs>
              <w:jc w:val="both"/>
            </w:pPr>
            <w:r>
              <w:t>C.S.</w:t>
            </w:r>
            <w:r>
              <w:t xml:space="preserve">H.B. 446 amends the Occupations Code to require </w:t>
            </w:r>
            <w:r>
              <w:t>the Texas Lottery Commission</w:t>
            </w:r>
            <w:r>
              <w:t>, on request,</w:t>
            </w:r>
            <w:r>
              <w:t xml:space="preserve"> to refund </w:t>
            </w:r>
            <w:r>
              <w:t xml:space="preserve">to </w:t>
            </w:r>
            <w:r>
              <w:t xml:space="preserve">an authorized organization the $25 fee </w:t>
            </w:r>
            <w:r>
              <w:t xml:space="preserve">for a temporary license </w:t>
            </w:r>
            <w:r>
              <w:t xml:space="preserve">to conduct bingo not later than the 30th day after the date the </w:t>
            </w:r>
            <w:r>
              <w:t xml:space="preserve">lottery </w:t>
            </w:r>
            <w:r>
              <w:t>commission receive</w:t>
            </w:r>
            <w:r>
              <w:t xml:space="preserve">s </w:t>
            </w:r>
            <w:r>
              <w:t>the</w:t>
            </w:r>
            <w:r>
              <w:t xml:space="preserve"> request for the refund if the authorized organization does not use the temporary license to conduct bingo before the first anniversary of the date of the license's issuance or </w:t>
            </w:r>
            <w:r>
              <w:t xml:space="preserve">if </w:t>
            </w:r>
            <w:r>
              <w:t>the authorized organization requests withdrawal of the application befo</w:t>
            </w:r>
            <w:r>
              <w:t>re the temporary license is issued</w:t>
            </w:r>
            <w:r>
              <w:t xml:space="preserve">. The bill authorizes </w:t>
            </w:r>
            <w:r>
              <w:t xml:space="preserve">the </w:t>
            </w:r>
            <w:r>
              <w:t xml:space="preserve">lottery </w:t>
            </w:r>
            <w:r>
              <w:t>commission</w:t>
            </w:r>
            <w:r>
              <w:t>,</w:t>
            </w:r>
            <w:r>
              <w:t xml:space="preserve"> when issuing such </w:t>
            </w:r>
            <w:r>
              <w:t xml:space="preserve">a refund </w:t>
            </w:r>
            <w:r>
              <w:t>due to</w:t>
            </w:r>
            <w:r>
              <w:t xml:space="preserve"> </w:t>
            </w:r>
            <w:r>
              <w:t>the</w:t>
            </w:r>
            <w:r>
              <w:t xml:space="preserve"> withdrawal of an application,</w:t>
            </w:r>
            <w:r>
              <w:t xml:space="preserve"> </w:t>
            </w:r>
            <w:r>
              <w:t>to</w:t>
            </w:r>
            <w:r>
              <w:t xml:space="preserve"> retain an amount capped at 50 percent of the</w:t>
            </w:r>
            <w:r>
              <w:t xml:space="preserve"> </w:t>
            </w:r>
            <w:r>
              <w:t>license fee to defray any administrative cost incurred by th</w:t>
            </w:r>
            <w:r>
              <w:t xml:space="preserve">e </w:t>
            </w:r>
            <w:r>
              <w:t xml:space="preserve">lottery </w:t>
            </w:r>
            <w:r>
              <w:t>commission in processing the application.</w:t>
            </w:r>
          </w:p>
          <w:p w:rsidR="00511FDB" w:rsidRDefault="0058307C" w:rsidP="00D33A5B">
            <w:pPr>
              <w:pStyle w:val="Header"/>
              <w:tabs>
                <w:tab w:val="clear" w:pos="4320"/>
                <w:tab w:val="clear" w:pos="8640"/>
              </w:tabs>
              <w:jc w:val="both"/>
            </w:pPr>
          </w:p>
          <w:p w:rsidR="008423E4" w:rsidRPr="00835628" w:rsidRDefault="0058307C" w:rsidP="00D33A5B">
            <w:pPr>
              <w:pStyle w:val="Header"/>
              <w:tabs>
                <w:tab w:val="clear" w:pos="4320"/>
                <w:tab w:val="clear" w:pos="8640"/>
              </w:tabs>
              <w:spacing w:before="120" w:after="120"/>
              <w:jc w:val="both"/>
              <w:rPr>
                <w:b/>
              </w:rPr>
            </w:pPr>
            <w:r>
              <w:t>C.S.</w:t>
            </w:r>
            <w:r>
              <w:t xml:space="preserve">H.B. 446 requires the </w:t>
            </w:r>
            <w:r>
              <w:t>l</w:t>
            </w:r>
            <w:r>
              <w:t xml:space="preserve">ottery </w:t>
            </w:r>
            <w:r>
              <w:t>c</w:t>
            </w:r>
            <w:r>
              <w:t>om</w:t>
            </w:r>
            <w:r>
              <w:t xml:space="preserve">mission </w:t>
            </w:r>
            <w:r>
              <w:t xml:space="preserve">to refund the fee </w:t>
            </w:r>
            <w:r>
              <w:t xml:space="preserve">for an initial or renewal license to conduct bingo, </w:t>
            </w:r>
            <w:r>
              <w:t xml:space="preserve">an initial or renewal </w:t>
            </w:r>
            <w:r>
              <w:t xml:space="preserve">commercial lessor license, </w:t>
            </w:r>
            <w:r>
              <w:t xml:space="preserve">an initial or renewal </w:t>
            </w:r>
            <w:r>
              <w:t>manufacturer's li</w:t>
            </w:r>
            <w:r>
              <w:t xml:space="preserve">cense, </w:t>
            </w:r>
            <w:r>
              <w:t xml:space="preserve">an initial or renewal </w:t>
            </w:r>
            <w:r>
              <w:t xml:space="preserve">distributor's license, </w:t>
            </w:r>
            <w:r>
              <w:t>or</w:t>
            </w:r>
            <w:r>
              <w:t xml:space="preserve"> </w:t>
            </w:r>
            <w:r>
              <w:t xml:space="preserve">an initial or renewal </w:t>
            </w:r>
            <w:r>
              <w:t>unit manager license</w:t>
            </w:r>
            <w:r>
              <w:t>,</w:t>
            </w:r>
            <w:r>
              <w:t xml:space="preserve"> or for amending a license issued under the Bingo Enabling Act</w:t>
            </w:r>
            <w:r>
              <w:t>,</w:t>
            </w:r>
            <w:r>
              <w:t xml:space="preserve"> </w:t>
            </w:r>
            <w:r w:rsidRPr="005B29FA">
              <w:t xml:space="preserve">if </w:t>
            </w:r>
            <w:r>
              <w:t>the</w:t>
            </w:r>
            <w:r w:rsidRPr="005B29FA">
              <w:t xml:space="preserve"> </w:t>
            </w:r>
            <w:r w:rsidRPr="005B29FA">
              <w:t xml:space="preserve">applicant requests withdrawal of the </w:t>
            </w:r>
            <w:r>
              <w:t xml:space="preserve">applicable </w:t>
            </w:r>
            <w:r w:rsidRPr="005B29FA">
              <w:t xml:space="preserve">application before the license is issued or if the </w:t>
            </w:r>
            <w:r>
              <w:t xml:space="preserve">lottery </w:t>
            </w:r>
            <w:r w:rsidRPr="005B29FA">
              <w:t>commission denies the application</w:t>
            </w:r>
            <w:r>
              <w:t xml:space="preserve">. </w:t>
            </w:r>
            <w:r>
              <w:t xml:space="preserve">The bill requires the lottery commission to refund the fee submitted for an initial or renewal registration application </w:t>
            </w:r>
            <w:r>
              <w:t>regarding inclusion in the</w:t>
            </w:r>
            <w:r>
              <w:t xml:space="preserve"> approved bingo </w:t>
            </w:r>
            <w:r>
              <w:t>worker</w:t>
            </w:r>
            <w:r>
              <w:t xml:space="preserve"> </w:t>
            </w:r>
            <w:r>
              <w:t xml:space="preserve">registry </w:t>
            </w:r>
            <w:r>
              <w:t xml:space="preserve">if the applicant </w:t>
            </w:r>
            <w:r w:rsidRPr="00340508">
              <w:t xml:space="preserve">requests withdrawal of the application before the applicant is listed on the registry or if the </w:t>
            </w:r>
            <w:r>
              <w:t xml:space="preserve">lottery </w:t>
            </w:r>
            <w:r w:rsidRPr="00340508">
              <w:t>commission deni</w:t>
            </w:r>
            <w:r>
              <w:t xml:space="preserve">es the registration and listing. </w:t>
            </w:r>
            <w:r>
              <w:t xml:space="preserve">The bill requires the lottery commission to issue </w:t>
            </w:r>
            <w:r>
              <w:t>th</w:t>
            </w:r>
            <w:r>
              <w:t>ese</w:t>
            </w:r>
            <w:r>
              <w:t xml:space="preserve"> refund</w:t>
            </w:r>
            <w:r>
              <w:t>s</w:t>
            </w:r>
            <w:r w:rsidRPr="00E6765C">
              <w:t xml:space="preserve"> not lat</w:t>
            </w:r>
            <w:r w:rsidRPr="00E6765C">
              <w:t xml:space="preserve">er than the 30th day after the date the </w:t>
            </w:r>
            <w:r>
              <w:t xml:space="preserve">lottery </w:t>
            </w:r>
            <w:r w:rsidRPr="00E6765C">
              <w:t>commission receives the withdrawal request or denies the application</w:t>
            </w:r>
            <w:r>
              <w:t>, as applicable</w:t>
            </w:r>
            <w:r>
              <w:t xml:space="preserve">, and authorizes </w:t>
            </w:r>
            <w:r w:rsidRPr="00340508">
              <w:t xml:space="preserve">the </w:t>
            </w:r>
            <w:r>
              <w:t xml:space="preserve">lottery </w:t>
            </w:r>
            <w:r w:rsidRPr="00340508">
              <w:t xml:space="preserve">commission </w:t>
            </w:r>
            <w:r>
              <w:t>to</w:t>
            </w:r>
            <w:r w:rsidRPr="00340508">
              <w:t xml:space="preserve"> retain </w:t>
            </w:r>
            <w:r>
              <w:t>a specified</w:t>
            </w:r>
            <w:r w:rsidRPr="00340508">
              <w:t xml:space="preserve"> amount to defray any administrative cost incurred by the </w:t>
            </w:r>
            <w:r>
              <w:t>lotter</w:t>
            </w:r>
            <w:r>
              <w:t xml:space="preserve">y </w:t>
            </w:r>
            <w:r w:rsidRPr="00340508">
              <w:t xml:space="preserve">commission </w:t>
            </w:r>
            <w:r>
              <w:t xml:space="preserve">in processing the </w:t>
            </w:r>
            <w:r w:rsidRPr="00340508">
              <w:t>application</w:t>
            </w:r>
            <w:r w:rsidRPr="00E6765C">
              <w:t>.</w:t>
            </w:r>
            <w:r>
              <w:t xml:space="preserve"> </w:t>
            </w:r>
          </w:p>
        </w:tc>
      </w:tr>
      <w:tr w:rsidR="00FF1658" w:rsidTr="00CA04F3">
        <w:tc>
          <w:tcPr>
            <w:tcW w:w="9582" w:type="dxa"/>
          </w:tcPr>
          <w:p w:rsidR="00107F6A" w:rsidRDefault="0058307C" w:rsidP="00D33A5B">
            <w:pPr>
              <w:rPr>
                <w:b/>
                <w:u w:val="single"/>
              </w:rPr>
            </w:pPr>
          </w:p>
          <w:p w:rsidR="008423E4" w:rsidRPr="00A8133F" w:rsidRDefault="0058307C" w:rsidP="00D33A5B">
            <w:pPr>
              <w:rPr>
                <w:b/>
              </w:rPr>
            </w:pPr>
            <w:r w:rsidRPr="009C1E9A">
              <w:rPr>
                <w:b/>
                <w:u w:val="single"/>
              </w:rPr>
              <w:lastRenderedPageBreak/>
              <w:t>EFFECTIVE DATE</w:t>
            </w:r>
            <w:r>
              <w:rPr>
                <w:b/>
              </w:rPr>
              <w:t xml:space="preserve"> </w:t>
            </w:r>
          </w:p>
          <w:p w:rsidR="008423E4" w:rsidRDefault="0058307C" w:rsidP="00D33A5B"/>
          <w:p w:rsidR="008423E4" w:rsidRPr="003624F2" w:rsidRDefault="0058307C" w:rsidP="00D33A5B">
            <w:pPr>
              <w:pStyle w:val="Header"/>
              <w:tabs>
                <w:tab w:val="clear" w:pos="4320"/>
                <w:tab w:val="clear" w:pos="8640"/>
              </w:tabs>
              <w:jc w:val="both"/>
            </w:pPr>
            <w:r>
              <w:t xml:space="preserve">January </w:t>
            </w:r>
            <w:r>
              <w:t xml:space="preserve">1, </w:t>
            </w:r>
            <w:r>
              <w:t>2018</w:t>
            </w:r>
            <w:r>
              <w:t>.</w:t>
            </w:r>
          </w:p>
          <w:p w:rsidR="008423E4" w:rsidRPr="00233FDB" w:rsidRDefault="0058307C" w:rsidP="00D33A5B">
            <w:pPr>
              <w:rPr>
                <w:b/>
              </w:rPr>
            </w:pPr>
          </w:p>
        </w:tc>
      </w:tr>
      <w:tr w:rsidR="00FF1658" w:rsidTr="00CA04F3">
        <w:tc>
          <w:tcPr>
            <w:tcW w:w="9582" w:type="dxa"/>
          </w:tcPr>
          <w:p w:rsidR="00CA04F3" w:rsidRDefault="0058307C" w:rsidP="00D33A5B">
            <w:pPr>
              <w:jc w:val="both"/>
              <w:rPr>
                <w:b/>
                <w:u w:val="single"/>
              </w:rPr>
            </w:pPr>
            <w:r>
              <w:rPr>
                <w:b/>
                <w:u w:val="single"/>
              </w:rPr>
              <w:lastRenderedPageBreak/>
              <w:t>COMPARISON OF ORIGINAL AND SUBSTITUTE</w:t>
            </w:r>
          </w:p>
          <w:p w:rsidR="0003610F" w:rsidRDefault="0058307C" w:rsidP="00D33A5B">
            <w:pPr>
              <w:jc w:val="both"/>
            </w:pPr>
          </w:p>
          <w:p w:rsidR="0003610F" w:rsidRDefault="0058307C" w:rsidP="00D33A5B">
            <w:pPr>
              <w:jc w:val="both"/>
            </w:pPr>
            <w:r>
              <w:t xml:space="preserve">While C.S.H.B. 446 may differ from the original in minor or nonsubstantive ways, the following comparison is organized and formatted </w:t>
            </w:r>
            <w:r>
              <w:t>in a manner that indicates the substantial differences between the introduced and committee substitute versions of the bill.</w:t>
            </w:r>
          </w:p>
          <w:p w:rsidR="0003610F" w:rsidRPr="0003610F" w:rsidRDefault="0058307C" w:rsidP="00D33A5B">
            <w:pPr>
              <w:jc w:val="both"/>
            </w:pPr>
          </w:p>
        </w:tc>
      </w:tr>
      <w:tr w:rsidR="00FF1658" w:rsidTr="00CA04F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39"/>
              <w:gridCol w:w="4607"/>
            </w:tblGrid>
            <w:tr w:rsidR="00FF1658" w:rsidTr="00CA04F3">
              <w:trPr>
                <w:cantSplit/>
                <w:tblHeader/>
              </w:trPr>
              <w:tc>
                <w:tcPr>
                  <w:tcW w:w="4739" w:type="dxa"/>
                  <w:tcMar>
                    <w:bottom w:w="188" w:type="dxa"/>
                  </w:tcMar>
                </w:tcPr>
                <w:p w:rsidR="00CA04F3" w:rsidRDefault="0058307C" w:rsidP="00D33A5B">
                  <w:pPr>
                    <w:jc w:val="center"/>
                  </w:pPr>
                  <w:r>
                    <w:t>INTRODUCED</w:t>
                  </w:r>
                </w:p>
              </w:tc>
              <w:tc>
                <w:tcPr>
                  <w:tcW w:w="4607" w:type="dxa"/>
                  <w:tcMar>
                    <w:bottom w:w="188" w:type="dxa"/>
                  </w:tcMar>
                </w:tcPr>
                <w:p w:rsidR="00CA04F3" w:rsidRDefault="0058307C" w:rsidP="00D33A5B">
                  <w:pPr>
                    <w:jc w:val="center"/>
                  </w:pPr>
                  <w:r>
                    <w:t>HOUSE COMMITTEE SUBSTITUTE</w:t>
                  </w:r>
                </w:p>
              </w:tc>
            </w:tr>
            <w:tr w:rsidR="00FF1658" w:rsidTr="00CA04F3">
              <w:tc>
                <w:tcPr>
                  <w:tcW w:w="4739" w:type="dxa"/>
                  <w:tcMar>
                    <w:right w:w="360" w:type="dxa"/>
                  </w:tcMar>
                </w:tcPr>
                <w:p w:rsidR="00CA04F3" w:rsidRDefault="0058307C" w:rsidP="00D33A5B">
                  <w:pPr>
                    <w:jc w:val="both"/>
                  </w:pPr>
                  <w:r>
                    <w:t>SECTION 1.  Section 2001.103, Occupations Code, is amended</w:t>
                  </w:r>
                  <w:r>
                    <w:t>.</w:t>
                  </w:r>
                </w:p>
              </w:tc>
              <w:tc>
                <w:tcPr>
                  <w:tcW w:w="4607" w:type="dxa"/>
                  <w:tcMar>
                    <w:left w:w="360" w:type="dxa"/>
                  </w:tcMar>
                </w:tcPr>
                <w:p w:rsidR="00CA04F3" w:rsidRDefault="0058307C" w:rsidP="00D33A5B">
                  <w:pPr>
                    <w:jc w:val="both"/>
                  </w:pPr>
                  <w:r>
                    <w:t xml:space="preserve">SECTION 1. Same as introduced </w:t>
                  </w:r>
                  <w:r>
                    <w:t>version.</w:t>
                  </w:r>
                </w:p>
                <w:p w:rsidR="00CA04F3" w:rsidRDefault="0058307C" w:rsidP="00D33A5B">
                  <w:pPr>
                    <w:jc w:val="both"/>
                  </w:pPr>
                </w:p>
              </w:tc>
            </w:tr>
            <w:tr w:rsidR="00FF1658" w:rsidTr="00CA04F3">
              <w:tc>
                <w:tcPr>
                  <w:tcW w:w="4739" w:type="dxa"/>
                  <w:tcMar>
                    <w:right w:w="360" w:type="dxa"/>
                  </w:tcMar>
                </w:tcPr>
                <w:p w:rsidR="00CA04F3" w:rsidRDefault="0058307C" w:rsidP="00D33A5B">
                  <w:pPr>
                    <w:jc w:val="both"/>
                  </w:pPr>
                  <w:r>
                    <w:t>SECTION 2.  Section 2001.104, Occupations Code, is amended</w:t>
                  </w:r>
                  <w:r>
                    <w:t>.</w:t>
                  </w:r>
                </w:p>
              </w:tc>
              <w:tc>
                <w:tcPr>
                  <w:tcW w:w="4607" w:type="dxa"/>
                  <w:tcMar>
                    <w:left w:w="360" w:type="dxa"/>
                  </w:tcMar>
                </w:tcPr>
                <w:p w:rsidR="00CA04F3" w:rsidRDefault="0058307C" w:rsidP="00D33A5B">
                  <w:pPr>
                    <w:jc w:val="both"/>
                  </w:pPr>
                  <w:r>
                    <w:t>SECTION 2. Same as introduced version.</w:t>
                  </w:r>
                </w:p>
                <w:p w:rsidR="00CA04F3" w:rsidRDefault="0058307C" w:rsidP="00D33A5B">
                  <w:pPr>
                    <w:jc w:val="both"/>
                  </w:pPr>
                </w:p>
              </w:tc>
            </w:tr>
            <w:tr w:rsidR="00FF1658" w:rsidTr="00CA04F3">
              <w:tc>
                <w:tcPr>
                  <w:tcW w:w="4739" w:type="dxa"/>
                  <w:tcMar>
                    <w:right w:w="360" w:type="dxa"/>
                  </w:tcMar>
                </w:tcPr>
                <w:p w:rsidR="00CA04F3" w:rsidRDefault="0058307C" w:rsidP="00D33A5B">
                  <w:pPr>
                    <w:jc w:val="both"/>
                  </w:pPr>
                  <w:r>
                    <w:t>SECTION 3.  Section 2001.158, Occupations Code, is amended</w:t>
                  </w:r>
                  <w:r>
                    <w:t>.</w:t>
                  </w:r>
                </w:p>
              </w:tc>
              <w:tc>
                <w:tcPr>
                  <w:tcW w:w="4607" w:type="dxa"/>
                  <w:tcMar>
                    <w:left w:w="360" w:type="dxa"/>
                  </w:tcMar>
                </w:tcPr>
                <w:p w:rsidR="00CA04F3" w:rsidRDefault="0058307C" w:rsidP="00D33A5B">
                  <w:pPr>
                    <w:jc w:val="both"/>
                  </w:pPr>
                  <w:r>
                    <w:t>SECTION 3. Same as introduced version.</w:t>
                  </w:r>
                </w:p>
                <w:p w:rsidR="00CA04F3" w:rsidRDefault="0058307C" w:rsidP="00D33A5B">
                  <w:pPr>
                    <w:jc w:val="both"/>
                  </w:pPr>
                </w:p>
              </w:tc>
            </w:tr>
            <w:tr w:rsidR="00FF1658" w:rsidTr="00CA04F3">
              <w:tc>
                <w:tcPr>
                  <w:tcW w:w="4739" w:type="dxa"/>
                  <w:tcMar>
                    <w:right w:w="360" w:type="dxa"/>
                  </w:tcMar>
                </w:tcPr>
                <w:p w:rsidR="00CA04F3" w:rsidRDefault="0058307C" w:rsidP="00D33A5B">
                  <w:pPr>
                    <w:jc w:val="both"/>
                  </w:pPr>
                  <w:r>
                    <w:t xml:space="preserve">SECTION 4.  Section 2001.205, Occupations </w:t>
                  </w:r>
                  <w:r>
                    <w:t>Code, is amended</w:t>
                  </w:r>
                  <w:r>
                    <w:t>.</w:t>
                  </w:r>
                </w:p>
              </w:tc>
              <w:tc>
                <w:tcPr>
                  <w:tcW w:w="4607" w:type="dxa"/>
                  <w:tcMar>
                    <w:left w:w="360" w:type="dxa"/>
                  </w:tcMar>
                </w:tcPr>
                <w:p w:rsidR="00CA04F3" w:rsidRDefault="0058307C" w:rsidP="00D33A5B">
                  <w:pPr>
                    <w:jc w:val="both"/>
                  </w:pPr>
                  <w:r>
                    <w:t>SECTION 4. Same as introduced version.</w:t>
                  </w:r>
                </w:p>
                <w:p w:rsidR="00CA04F3" w:rsidRDefault="0058307C" w:rsidP="00D33A5B">
                  <w:pPr>
                    <w:jc w:val="both"/>
                  </w:pPr>
                </w:p>
              </w:tc>
            </w:tr>
            <w:tr w:rsidR="00FF1658" w:rsidTr="00CA04F3">
              <w:tc>
                <w:tcPr>
                  <w:tcW w:w="4739" w:type="dxa"/>
                  <w:tcMar>
                    <w:right w:w="360" w:type="dxa"/>
                  </w:tcMar>
                </w:tcPr>
                <w:p w:rsidR="00CA04F3" w:rsidRDefault="0058307C" w:rsidP="00D33A5B">
                  <w:pPr>
                    <w:jc w:val="both"/>
                  </w:pPr>
                  <w:r>
                    <w:t>SECTION 5.  Section 2001.209, Occupations Code, is amended</w:t>
                  </w:r>
                  <w:r>
                    <w:t>.</w:t>
                  </w:r>
                </w:p>
              </w:tc>
              <w:tc>
                <w:tcPr>
                  <w:tcW w:w="4607" w:type="dxa"/>
                  <w:tcMar>
                    <w:left w:w="360" w:type="dxa"/>
                  </w:tcMar>
                </w:tcPr>
                <w:p w:rsidR="00CA04F3" w:rsidRDefault="0058307C" w:rsidP="00D33A5B">
                  <w:pPr>
                    <w:jc w:val="both"/>
                  </w:pPr>
                  <w:r>
                    <w:t>SECTION 5. Same as introduced version.</w:t>
                  </w:r>
                </w:p>
              </w:tc>
            </w:tr>
            <w:tr w:rsidR="00FF1658" w:rsidTr="00CA04F3">
              <w:tc>
                <w:tcPr>
                  <w:tcW w:w="4739" w:type="dxa"/>
                  <w:tcMar>
                    <w:right w:w="360" w:type="dxa"/>
                  </w:tcMar>
                </w:tcPr>
                <w:p w:rsidR="00CA04F3" w:rsidRDefault="0058307C" w:rsidP="00D33A5B">
                  <w:pPr>
                    <w:jc w:val="both"/>
                  </w:pPr>
                  <w:r>
                    <w:t>SECTION 6.  Section 2001.306, Occupations Code, is amended</w:t>
                  </w:r>
                  <w:r>
                    <w:t>.</w:t>
                  </w:r>
                </w:p>
              </w:tc>
              <w:tc>
                <w:tcPr>
                  <w:tcW w:w="4607" w:type="dxa"/>
                  <w:tcMar>
                    <w:left w:w="360" w:type="dxa"/>
                  </w:tcMar>
                </w:tcPr>
                <w:p w:rsidR="00CA04F3" w:rsidRDefault="0058307C" w:rsidP="00D33A5B">
                  <w:pPr>
                    <w:jc w:val="both"/>
                  </w:pPr>
                  <w:r>
                    <w:t>SECTION 6. Same as introduced version</w:t>
                  </w:r>
                  <w:r>
                    <w:t>.</w:t>
                  </w:r>
                </w:p>
                <w:p w:rsidR="00CA04F3" w:rsidRDefault="0058307C" w:rsidP="00D33A5B">
                  <w:pPr>
                    <w:jc w:val="both"/>
                  </w:pPr>
                </w:p>
              </w:tc>
            </w:tr>
            <w:tr w:rsidR="00FF1658" w:rsidTr="00CA04F3">
              <w:tc>
                <w:tcPr>
                  <w:tcW w:w="4739" w:type="dxa"/>
                  <w:tcMar>
                    <w:right w:w="360" w:type="dxa"/>
                  </w:tcMar>
                </w:tcPr>
                <w:p w:rsidR="00CA04F3" w:rsidRDefault="0058307C" w:rsidP="00D33A5B">
                  <w:pPr>
                    <w:jc w:val="both"/>
                  </w:pPr>
                  <w:r>
                    <w:t>SECTION 7.  Section 2001.313, Occupations Code, is amended</w:t>
                  </w:r>
                  <w:r>
                    <w:t>.</w:t>
                  </w:r>
                </w:p>
              </w:tc>
              <w:tc>
                <w:tcPr>
                  <w:tcW w:w="4607" w:type="dxa"/>
                  <w:tcMar>
                    <w:left w:w="360" w:type="dxa"/>
                  </w:tcMar>
                </w:tcPr>
                <w:p w:rsidR="00CA04F3" w:rsidRDefault="0058307C" w:rsidP="00D33A5B">
                  <w:pPr>
                    <w:jc w:val="both"/>
                  </w:pPr>
                  <w:r>
                    <w:t>SECTION 7. Same as introduced version.</w:t>
                  </w:r>
                </w:p>
                <w:p w:rsidR="00CA04F3" w:rsidRDefault="0058307C" w:rsidP="00D33A5B">
                  <w:pPr>
                    <w:jc w:val="both"/>
                  </w:pPr>
                </w:p>
              </w:tc>
            </w:tr>
            <w:tr w:rsidR="00FF1658" w:rsidTr="00CA04F3">
              <w:tc>
                <w:tcPr>
                  <w:tcW w:w="4739" w:type="dxa"/>
                  <w:tcMar>
                    <w:right w:w="360" w:type="dxa"/>
                  </w:tcMar>
                </w:tcPr>
                <w:p w:rsidR="00CA04F3" w:rsidRDefault="0058307C" w:rsidP="00D33A5B">
                  <w:pPr>
                    <w:jc w:val="both"/>
                  </w:pPr>
                  <w:r>
                    <w:t>SECTION 8.  Section 2001.437, Occupations Code, is amended</w:t>
                  </w:r>
                  <w:r>
                    <w:t>.</w:t>
                  </w:r>
                </w:p>
              </w:tc>
              <w:tc>
                <w:tcPr>
                  <w:tcW w:w="4607" w:type="dxa"/>
                  <w:tcMar>
                    <w:left w:w="360" w:type="dxa"/>
                  </w:tcMar>
                </w:tcPr>
                <w:p w:rsidR="00CA04F3" w:rsidRDefault="0058307C" w:rsidP="00D33A5B">
                  <w:pPr>
                    <w:jc w:val="both"/>
                  </w:pPr>
                  <w:r>
                    <w:t>SECTION 8. Same as introduced version.</w:t>
                  </w:r>
                </w:p>
                <w:p w:rsidR="00CA04F3" w:rsidRDefault="0058307C" w:rsidP="00D33A5B">
                  <w:pPr>
                    <w:jc w:val="both"/>
                  </w:pPr>
                </w:p>
              </w:tc>
            </w:tr>
            <w:tr w:rsidR="00FF1658" w:rsidTr="00CA04F3">
              <w:tc>
                <w:tcPr>
                  <w:tcW w:w="4739" w:type="dxa"/>
                  <w:tcMar>
                    <w:right w:w="360" w:type="dxa"/>
                  </w:tcMar>
                </w:tcPr>
                <w:p w:rsidR="00CA04F3" w:rsidRDefault="0058307C" w:rsidP="00D33A5B">
                  <w:pPr>
                    <w:jc w:val="both"/>
                  </w:pPr>
                  <w:r>
                    <w:t xml:space="preserve">SECTION 9.  Chapter 2001, Occupations Code, as </w:t>
                  </w:r>
                  <w:r>
                    <w:t>amended by this Act, applies only to an application and fee submitted under that chapter on or after the effective date of this Act.  An application and fee submitted before the effective date of this Act is governed by the law in effect on the date the ap</w:t>
                  </w:r>
                  <w:r>
                    <w:t>plication and fee are submitted and the former law is continued in effect for that purpose.</w:t>
                  </w:r>
                </w:p>
                <w:p w:rsidR="00CA04F3" w:rsidRDefault="0058307C" w:rsidP="00D33A5B">
                  <w:pPr>
                    <w:jc w:val="both"/>
                  </w:pPr>
                </w:p>
              </w:tc>
              <w:tc>
                <w:tcPr>
                  <w:tcW w:w="4607" w:type="dxa"/>
                  <w:tcMar>
                    <w:left w:w="360" w:type="dxa"/>
                  </w:tcMar>
                </w:tcPr>
                <w:p w:rsidR="00CA04F3" w:rsidRDefault="0058307C" w:rsidP="00D33A5B">
                  <w:pPr>
                    <w:jc w:val="both"/>
                  </w:pPr>
                  <w:r w:rsidRPr="0003610F">
                    <w:t xml:space="preserve">SECTION 9.  </w:t>
                  </w:r>
                  <w:r>
                    <w:t>Substantially the s</w:t>
                  </w:r>
                  <w:r w:rsidRPr="005F4F7E">
                    <w:t>ame as introduced version.</w:t>
                  </w:r>
                </w:p>
                <w:p w:rsidR="00CA04F3" w:rsidRDefault="0058307C" w:rsidP="00D33A5B">
                  <w:pPr>
                    <w:jc w:val="both"/>
                  </w:pPr>
                </w:p>
              </w:tc>
            </w:tr>
            <w:tr w:rsidR="00FF1658" w:rsidTr="00CA04F3">
              <w:tc>
                <w:tcPr>
                  <w:tcW w:w="4739" w:type="dxa"/>
                  <w:tcMar>
                    <w:right w:w="360" w:type="dxa"/>
                  </w:tcMar>
                </w:tcPr>
                <w:p w:rsidR="00CA04F3" w:rsidRDefault="0058307C" w:rsidP="00D33A5B">
                  <w:pPr>
                    <w:jc w:val="both"/>
                  </w:pPr>
                  <w:r>
                    <w:t xml:space="preserve">SECTION 10.  This Act takes effect </w:t>
                  </w:r>
                  <w:r w:rsidRPr="0003610F">
                    <w:rPr>
                      <w:highlight w:val="lightGray"/>
                    </w:rPr>
                    <w:t>September 1, 2017</w:t>
                  </w:r>
                  <w:r>
                    <w:t>.</w:t>
                  </w:r>
                </w:p>
                <w:p w:rsidR="00CA04F3" w:rsidRDefault="0058307C" w:rsidP="00D33A5B">
                  <w:pPr>
                    <w:jc w:val="both"/>
                  </w:pPr>
                </w:p>
              </w:tc>
              <w:tc>
                <w:tcPr>
                  <w:tcW w:w="4607" w:type="dxa"/>
                  <w:tcMar>
                    <w:left w:w="360" w:type="dxa"/>
                  </w:tcMar>
                </w:tcPr>
                <w:p w:rsidR="00CA04F3" w:rsidRDefault="0058307C" w:rsidP="00D33A5B">
                  <w:pPr>
                    <w:jc w:val="both"/>
                  </w:pPr>
                  <w:r>
                    <w:t xml:space="preserve">SECTION 10.  This Act takes effect </w:t>
                  </w:r>
                  <w:r w:rsidRPr="0003610F">
                    <w:rPr>
                      <w:highlight w:val="lightGray"/>
                    </w:rPr>
                    <w:t xml:space="preserve">January 1, </w:t>
                  </w:r>
                  <w:r w:rsidRPr="0003610F">
                    <w:rPr>
                      <w:highlight w:val="lightGray"/>
                    </w:rPr>
                    <w:t>2018</w:t>
                  </w:r>
                  <w:r>
                    <w:t>.</w:t>
                  </w:r>
                </w:p>
                <w:p w:rsidR="00CA04F3" w:rsidRDefault="0058307C" w:rsidP="00D33A5B">
                  <w:pPr>
                    <w:jc w:val="both"/>
                  </w:pPr>
                </w:p>
              </w:tc>
            </w:tr>
          </w:tbl>
          <w:p w:rsidR="00CA04F3" w:rsidRDefault="0058307C" w:rsidP="00D33A5B"/>
          <w:p w:rsidR="00CA04F3" w:rsidRDefault="0058307C" w:rsidP="00D33A5B">
            <w:pPr>
              <w:rPr>
                <w:b/>
                <w:u w:val="single"/>
              </w:rPr>
            </w:pPr>
          </w:p>
        </w:tc>
      </w:tr>
    </w:tbl>
    <w:p w:rsidR="008423E4" w:rsidRPr="00BE0E75" w:rsidRDefault="0058307C" w:rsidP="008423E4">
      <w:pPr>
        <w:spacing w:line="480" w:lineRule="auto"/>
        <w:jc w:val="both"/>
        <w:rPr>
          <w:rFonts w:ascii="Arial" w:hAnsi="Arial"/>
          <w:sz w:val="16"/>
          <w:szCs w:val="16"/>
        </w:rPr>
      </w:pPr>
    </w:p>
    <w:p w:rsidR="004108C3" w:rsidRPr="008423E4" w:rsidRDefault="0058307C"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307C">
      <w:r>
        <w:separator/>
      </w:r>
    </w:p>
  </w:endnote>
  <w:endnote w:type="continuationSeparator" w:id="0">
    <w:p w:rsidR="00000000" w:rsidRDefault="0058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F1658" w:rsidTr="009C1E9A">
      <w:trPr>
        <w:cantSplit/>
      </w:trPr>
      <w:tc>
        <w:tcPr>
          <w:tcW w:w="0" w:type="pct"/>
        </w:tcPr>
        <w:p w:rsidR="00137D90" w:rsidRDefault="0058307C" w:rsidP="009C1E9A">
          <w:pPr>
            <w:pStyle w:val="Footer"/>
            <w:tabs>
              <w:tab w:val="clear" w:pos="8640"/>
              <w:tab w:val="right" w:pos="9360"/>
            </w:tabs>
          </w:pPr>
        </w:p>
      </w:tc>
      <w:tc>
        <w:tcPr>
          <w:tcW w:w="2395" w:type="pct"/>
        </w:tcPr>
        <w:p w:rsidR="00137D90" w:rsidRDefault="0058307C" w:rsidP="009C1E9A">
          <w:pPr>
            <w:pStyle w:val="Footer"/>
            <w:tabs>
              <w:tab w:val="clear" w:pos="8640"/>
              <w:tab w:val="right" w:pos="9360"/>
            </w:tabs>
          </w:pPr>
        </w:p>
        <w:p w:rsidR="001A4310" w:rsidRDefault="0058307C" w:rsidP="009C1E9A">
          <w:pPr>
            <w:pStyle w:val="Footer"/>
            <w:tabs>
              <w:tab w:val="clear" w:pos="8640"/>
              <w:tab w:val="right" w:pos="9360"/>
            </w:tabs>
          </w:pPr>
        </w:p>
        <w:p w:rsidR="00137D90" w:rsidRDefault="0058307C" w:rsidP="009C1E9A">
          <w:pPr>
            <w:pStyle w:val="Footer"/>
            <w:tabs>
              <w:tab w:val="clear" w:pos="8640"/>
              <w:tab w:val="right" w:pos="9360"/>
            </w:tabs>
          </w:pPr>
        </w:p>
      </w:tc>
      <w:tc>
        <w:tcPr>
          <w:tcW w:w="2453" w:type="pct"/>
        </w:tcPr>
        <w:p w:rsidR="00137D90" w:rsidRDefault="0058307C" w:rsidP="009C1E9A">
          <w:pPr>
            <w:pStyle w:val="Footer"/>
            <w:tabs>
              <w:tab w:val="clear" w:pos="8640"/>
              <w:tab w:val="right" w:pos="9360"/>
            </w:tabs>
            <w:jc w:val="right"/>
          </w:pPr>
        </w:p>
      </w:tc>
    </w:tr>
    <w:tr w:rsidR="00FF1658" w:rsidTr="009C1E9A">
      <w:trPr>
        <w:cantSplit/>
      </w:trPr>
      <w:tc>
        <w:tcPr>
          <w:tcW w:w="0" w:type="pct"/>
        </w:tcPr>
        <w:p w:rsidR="00EC379B" w:rsidRDefault="0058307C" w:rsidP="009C1E9A">
          <w:pPr>
            <w:pStyle w:val="Footer"/>
            <w:tabs>
              <w:tab w:val="clear" w:pos="8640"/>
              <w:tab w:val="right" w:pos="9360"/>
            </w:tabs>
          </w:pPr>
        </w:p>
      </w:tc>
      <w:tc>
        <w:tcPr>
          <w:tcW w:w="2395" w:type="pct"/>
        </w:tcPr>
        <w:p w:rsidR="00EC379B" w:rsidRPr="009C1E9A" w:rsidRDefault="0058307C" w:rsidP="009C1E9A">
          <w:pPr>
            <w:pStyle w:val="Footer"/>
            <w:tabs>
              <w:tab w:val="clear" w:pos="8640"/>
              <w:tab w:val="right" w:pos="9360"/>
            </w:tabs>
            <w:rPr>
              <w:rFonts w:ascii="Shruti" w:hAnsi="Shruti"/>
              <w:sz w:val="22"/>
            </w:rPr>
          </w:pPr>
          <w:r>
            <w:rPr>
              <w:rFonts w:ascii="Shruti" w:hAnsi="Shruti"/>
              <w:sz w:val="22"/>
            </w:rPr>
            <w:t>85R 23034</w:t>
          </w:r>
        </w:p>
      </w:tc>
      <w:tc>
        <w:tcPr>
          <w:tcW w:w="2453" w:type="pct"/>
        </w:tcPr>
        <w:p w:rsidR="00EC379B" w:rsidRDefault="0058307C" w:rsidP="009C1E9A">
          <w:pPr>
            <w:pStyle w:val="Footer"/>
            <w:tabs>
              <w:tab w:val="clear" w:pos="8640"/>
              <w:tab w:val="right" w:pos="9360"/>
            </w:tabs>
            <w:jc w:val="right"/>
          </w:pPr>
          <w:r>
            <w:fldChar w:fldCharType="begin"/>
          </w:r>
          <w:r>
            <w:instrText xml:space="preserve"> DOCPROPERTY  OTID  \* MERGEFORMAT </w:instrText>
          </w:r>
          <w:r>
            <w:fldChar w:fldCharType="separate"/>
          </w:r>
          <w:r>
            <w:t>17.101.532</w:t>
          </w:r>
          <w:r>
            <w:fldChar w:fldCharType="end"/>
          </w:r>
        </w:p>
      </w:tc>
    </w:tr>
    <w:tr w:rsidR="00FF1658" w:rsidTr="009C1E9A">
      <w:trPr>
        <w:cantSplit/>
      </w:trPr>
      <w:tc>
        <w:tcPr>
          <w:tcW w:w="0" w:type="pct"/>
        </w:tcPr>
        <w:p w:rsidR="00EC379B" w:rsidRDefault="0058307C" w:rsidP="009C1E9A">
          <w:pPr>
            <w:pStyle w:val="Footer"/>
            <w:tabs>
              <w:tab w:val="clear" w:pos="4320"/>
              <w:tab w:val="clear" w:pos="8640"/>
              <w:tab w:val="left" w:pos="2865"/>
            </w:tabs>
          </w:pPr>
        </w:p>
      </w:tc>
      <w:tc>
        <w:tcPr>
          <w:tcW w:w="2395" w:type="pct"/>
        </w:tcPr>
        <w:p w:rsidR="00EC379B" w:rsidRPr="009C1E9A" w:rsidRDefault="0058307C" w:rsidP="009C1E9A">
          <w:pPr>
            <w:pStyle w:val="Footer"/>
            <w:tabs>
              <w:tab w:val="clear" w:pos="4320"/>
              <w:tab w:val="clear" w:pos="8640"/>
              <w:tab w:val="left" w:pos="2865"/>
            </w:tabs>
            <w:rPr>
              <w:rFonts w:ascii="Shruti" w:hAnsi="Shruti"/>
              <w:sz w:val="22"/>
            </w:rPr>
          </w:pPr>
          <w:r>
            <w:rPr>
              <w:rFonts w:ascii="Shruti" w:hAnsi="Shruti"/>
              <w:sz w:val="22"/>
            </w:rPr>
            <w:t>Substitute Document Number: 85R 11543</w:t>
          </w:r>
        </w:p>
      </w:tc>
      <w:tc>
        <w:tcPr>
          <w:tcW w:w="2453" w:type="pct"/>
        </w:tcPr>
        <w:p w:rsidR="00EC379B" w:rsidRDefault="0058307C" w:rsidP="006D504F">
          <w:pPr>
            <w:pStyle w:val="Footer"/>
            <w:rPr>
              <w:rStyle w:val="PageNumber"/>
            </w:rPr>
          </w:pPr>
        </w:p>
        <w:p w:rsidR="00EC379B" w:rsidRDefault="0058307C" w:rsidP="009C1E9A">
          <w:pPr>
            <w:pStyle w:val="Footer"/>
            <w:tabs>
              <w:tab w:val="clear" w:pos="8640"/>
              <w:tab w:val="right" w:pos="9360"/>
            </w:tabs>
            <w:jc w:val="right"/>
          </w:pPr>
        </w:p>
      </w:tc>
    </w:tr>
    <w:tr w:rsidR="00FF1658" w:rsidTr="009C1E9A">
      <w:trPr>
        <w:cantSplit/>
        <w:trHeight w:val="323"/>
      </w:trPr>
      <w:tc>
        <w:tcPr>
          <w:tcW w:w="0" w:type="pct"/>
          <w:gridSpan w:val="3"/>
        </w:tcPr>
        <w:p w:rsidR="00EC379B" w:rsidRDefault="0058307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8307C" w:rsidP="009C1E9A">
          <w:pPr>
            <w:pStyle w:val="Footer"/>
            <w:tabs>
              <w:tab w:val="clear" w:pos="8640"/>
              <w:tab w:val="right" w:pos="9360"/>
            </w:tabs>
            <w:jc w:val="center"/>
          </w:pPr>
        </w:p>
      </w:tc>
    </w:tr>
  </w:tbl>
  <w:p w:rsidR="00EC379B" w:rsidRPr="00FF6F72" w:rsidRDefault="0058307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307C">
      <w:r>
        <w:separator/>
      </w:r>
    </w:p>
  </w:footnote>
  <w:footnote w:type="continuationSeparator" w:id="0">
    <w:p w:rsidR="00000000" w:rsidRDefault="00583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419"/>
    <w:multiLevelType w:val="hybridMultilevel"/>
    <w:tmpl w:val="C3EA7AB0"/>
    <w:lvl w:ilvl="0" w:tplc="2B9083D0">
      <w:start w:val="1"/>
      <w:numFmt w:val="bullet"/>
      <w:lvlText w:val=""/>
      <w:lvlJc w:val="left"/>
      <w:pPr>
        <w:tabs>
          <w:tab w:val="num" w:pos="720"/>
        </w:tabs>
        <w:ind w:left="720" w:hanging="360"/>
      </w:pPr>
      <w:rPr>
        <w:rFonts w:ascii="Symbol" w:hAnsi="Symbol" w:hint="default"/>
      </w:rPr>
    </w:lvl>
    <w:lvl w:ilvl="1" w:tplc="6CC8C9B0" w:tentative="1">
      <w:start w:val="1"/>
      <w:numFmt w:val="bullet"/>
      <w:lvlText w:val="o"/>
      <w:lvlJc w:val="left"/>
      <w:pPr>
        <w:ind w:left="1440" w:hanging="360"/>
      </w:pPr>
      <w:rPr>
        <w:rFonts w:ascii="Courier New" w:hAnsi="Courier New" w:cs="Courier New" w:hint="default"/>
      </w:rPr>
    </w:lvl>
    <w:lvl w:ilvl="2" w:tplc="0ECC0988" w:tentative="1">
      <w:start w:val="1"/>
      <w:numFmt w:val="bullet"/>
      <w:lvlText w:val=""/>
      <w:lvlJc w:val="left"/>
      <w:pPr>
        <w:ind w:left="2160" w:hanging="360"/>
      </w:pPr>
      <w:rPr>
        <w:rFonts w:ascii="Wingdings" w:hAnsi="Wingdings" w:hint="default"/>
      </w:rPr>
    </w:lvl>
    <w:lvl w:ilvl="3" w:tplc="1B16728C" w:tentative="1">
      <w:start w:val="1"/>
      <w:numFmt w:val="bullet"/>
      <w:lvlText w:val=""/>
      <w:lvlJc w:val="left"/>
      <w:pPr>
        <w:ind w:left="2880" w:hanging="360"/>
      </w:pPr>
      <w:rPr>
        <w:rFonts w:ascii="Symbol" w:hAnsi="Symbol" w:hint="default"/>
      </w:rPr>
    </w:lvl>
    <w:lvl w:ilvl="4" w:tplc="CBE2408C" w:tentative="1">
      <w:start w:val="1"/>
      <w:numFmt w:val="bullet"/>
      <w:lvlText w:val="o"/>
      <w:lvlJc w:val="left"/>
      <w:pPr>
        <w:ind w:left="3600" w:hanging="360"/>
      </w:pPr>
      <w:rPr>
        <w:rFonts w:ascii="Courier New" w:hAnsi="Courier New" w:cs="Courier New" w:hint="default"/>
      </w:rPr>
    </w:lvl>
    <w:lvl w:ilvl="5" w:tplc="A83A25F6" w:tentative="1">
      <w:start w:val="1"/>
      <w:numFmt w:val="bullet"/>
      <w:lvlText w:val=""/>
      <w:lvlJc w:val="left"/>
      <w:pPr>
        <w:ind w:left="4320" w:hanging="360"/>
      </w:pPr>
      <w:rPr>
        <w:rFonts w:ascii="Wingdings" w:hAnsi="Wingdings" w:hint="default"/>
      </w:rPr>
    </w:lvl>
    <w:lvl w:ilvl="6" w:tplc="9300EA40" w:tentative="1">
      <w:start w:val="1"/>
      <w:numFmt w:val="bullet"/>
      <w:lvlText w:val=""/>
      <w:lvlJc w:val="left"/>
      <w:pPr>
        <w:ind w:left="5040" w:hanging="360"/>
      </w:pPr>
      <w:rPr>
        <w:rFonts w:ascii="Symbol" w:hAnsi="Symbol" w:hint="default"/>
      </w:rPr>
    </w:lvl>
    <w:lvl w:ilvl="7" w:tplc="5798F5D8" w:tentative="1">
      <w:start w:val="1"/>
      <w:numFmt w:val="bullet"/>
      <w:lvlText w:val="o"/>
      <w:lvlJc w:val="left"/>
      <w:pPr>
        <w:ind w:left="5760" w:hanging="360"/>
      </w:pPr>
      <w:rPr>
        <w:rFonts w:ascii="Courier New" w:hAnsi="Courier New" w:cs="Courier New" w:hint="default"/>
      </w:rPr>
    </w:lvl>
    <w:lvl w:ilvl="8" w:tplc="258E3A2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58"/>
    <w:rsid w:val="0058307C"/>
    <w:rsid w:val="00FF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35D62"/>
    <w:rPr>
      <w:sz w:val="16"/>
      <w:szCs w:val="16"/>
    </w:rPr>
  </w:style>
  <w:style w:type="paragraph" w:styleId="CommentText">
    <w:name w:val="annotation text"/>
    <w:basedOn w:val="Normal"/>
    <w:link w:val="CommentTextChar"/>
    <w:rsid w:val="00B35D62"/>
    <w:rPr>
      <w:sz w:val="20"/>
      <w:szCs w:val="20"/>
    </w:rPr>
  </w:style>
  <w:style w:type="character" w:customStyle="1" w:styleId="CommentTextChar">
    <w:name w:val="Comment Text Char"/>
    <w:basedOn w:val="DefaultParagraphFont"/>
    <w:link w:val="CommentText"/>
    <w:rsid w:val="00B35D62"/>
  </w:style>
  <w:style w:type="paragraph" w:styleId="CommentSubject">
    <w:name w:val="annotation subject"/>
    <w:basedOn w:val="CommentText"/>
    <w:next w:val="CommentText"/>
    <w:link w:val="CommentSubjectChar"/>
    <w:rsid w:val="00B35D62"/>
    <w:rPr>
      <w:b/>
      <w:bCs/>
    </w:rPr>
  </w:style>
  <w:style w:type="character" w:customStyle="1" w:styleId="CommentSubjectChar">
    <w:name w:val="Comment Subject Char"/>
    <w:basedOn w:val="CommentTextChar"/>
    <w:link w:val="CommentSubject"/>
    <w:rsid w:val="00B35D62"/>
    <w:rPr>
      <w:b/>
      <w:bCs/>
    </w:rPr>
  </w:style>
  <w:style w:type="paragraph" w:styleId="Revision">
    <w:name w:val="Revision"/>
    <w:hidden/>
    <w:uiPriority w:val="99"/>
    <w:semiHidden/>
    <w:rsid w:val="00B35D62"/>
    <w:rPr>
      <w:sz w:val="24"/>
      <w:szCs w:val="24"/>
    </w:rPr>
  </w:style>
  <w:style w:type="character" w:styleId="Hyperlink">
    <w:name w:val="Hyperlink"/>
    <w:basedOn w:val="DefaultParagraphFont"/>
    <w:rsid w:val="007110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35D62"/>
    <w:rPr>
      <w:sz w:val="16"/>
      <w:szCs w:val="16"/>
    </w:rPr>
  </w:style>
  <w:style w:type="paragraph" w:styleId="CommentText">
    <w:name w:val="annotation text"/>
    <w:basedOn w:val="Normal"/>
    <w:link w:val="CommentTextChar"/>
    <w:rsid w:val="00B35D62"/>
    <w:rPr>
      <w:sz w:val="20"/>
      <w:szCs w:val="20"/>
    </w:rPr>
  </w:style>
  <w:style w:type="character" w:customStyle="1" w:styleId="CommentTextChar">
    <w:name w:val="Comment Text Char"/>
    <w:basedOn w:val="DefaultParagraphFont"/>
    <w:link w:val="CommentText"/>
    <w:rsid w:val="00B35D62"/>
  </w:style>
  <w:style w:type="paragraph" w:styleId="CommentSubject">
    <w:name w:val="annotation subject"/>
    <w:basedOn w:val="CommentText"/>
    <w:next w:val="CommentText"/>
    <w:link w:val="CommentSubjectChar"/>
    <w:rsid w:val="00B35D62"/>
    <w:rPr>
      <w:b/>
      <w:bCs/>
    </w:rPr>
  </w:style>
  <w:style w:type="character" w:customStyle="1" w:styleId="CommentSubjectChar">
    <w:name w:val="Comment Subject Char"/>
    <w:basedOn w:val="CommentTextChar"/>
    <w:link w:val="CommentSubject"/>
    <w:rsid w:val="00B35D62"/>
    <w:rPr>
      <w:b/>
      <w:bCs/>
    </w:rPr>
  </w:style>
  <w:style w:type="paragraph" w:styleId="Revision">
    <w:name w:val="Revision"/>
    <w:hidden/>
    <w:uiPriority w:val="99"/>
    <w:semiHidden/>
    <w:rsid w:val="00B35D62"/>
    <w:rPr>
      <w:sz w:val="24"/>
      <w:szCs w:val="24"/>
    </w:rPr>
  </w:style>
  <w:style w:type="character" w:styleId="Hyperlink">
    <w:name w:val="Hyperlink"/>
    <w:basedOn w:val="DefaultParagraphFont"/>
    <w:rsid w:val="00711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4006</Characters>
  <Application>Microsoft Office Word</Application>
  <DocSecurity>4</DocSecurity>
  <Lines>121</Lines>
  <Paragraphs>40</Paragraphs>
  <ScaleCrop>false</ScaleCrop>
  <HeadingPairs>
    <vt:vector size="2" baseType="variant">
      <vt:variant>
        <vt:lpstr>Title</vt:lpstr>
      </vt:variant>
      <vt:variant>
        <vt:i4>1</vt:i4>
      </vt:variant>
    </vt:vector>
  </HeadingPairs>
  <TitlesOfParts>
    <vt:vector size="1" baseType="lpstr">
      <vt:lpstr>BA - HB00446 (Committee Report (Substituted))</vt:lpstr>
    </vt:vector>
  </TitlesOfParts>
  <Company>State of Texas</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23034</dc:subject>
  <dc:creator>State of Texas</dc:creator>
  <dc:description>HB 446 by Bell-(H)Licensing &amp; Administrative Procedures (Substitute Document Number: 85R 11543)</dc:description>
  <cp:lastModifiedBy>Brianna Weis</cp:lastModifiedBy>
  <cp:revision>2</cp:revision>
  <cp:lastPrinted>2017-03-30T16:05:00Z</cp:lastPrinted>
  <dcterms:created xsi:type="dcterms:W3CDTF">2017-04-18T15:03:00Z</dcterms:created>
  <dcterms:modified xsi:type="dcterms:W3CDTF">2017-04-18T15:03:00Z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17.101.532</vt:lpwstr>
  </property>
</Properties>
</file>