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2F91" w:rsidTr="00345119">
        <w:tc>
          <w:tcPr>
            <w:tcW w:w="9576" w:type="dxa"/>
            <w:noWrap/>
          </w:tcPr>
          <w:p w:rsidR="008423E4" w:rsidRPr="0022177D" w:rsidRDefault="00951E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1E3C" w:rsidP="008423E4">
      <w:pPr>
        <w:jc w:val="center"/>
      </w:pPr>
    </w:p>
    <w:p w:rsidR="008423E4" w:rsidRPr="00B31F0E" w:rsidRDefault="00951E3C" w:rsidP="008423E4"/>
    <w:p w:rsidR="008423E4" w:rsidRPr="00742794" w:rsidRDefault="00951E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2F91" w:rsidTr="00345119">
        <w:tc>
          <w:tcPr>
            <w:tcW w:w="9576" w:type="dxa"/>
          </w:tcPr>
          <w:p w:rsidR="008423E4" w:rsidRPr="00861995" w:rsidRDefault="00951E3C" w:rsidP="00345119">
            <w:pPr>
              <w:jc w:val="right"/>
            </w:pPr>
            <w:r>
              <w:t>C.S.H.B. 530</w:t>
            </w:r>
          </w:p>
        </w:tc>
      </w:tr>
      <w:tr w:rsidR="00B32F91" w:rsidTr="00345119">
        <w:tc>
          <w:tcPr>
            <w:tcW w:w="9576" w:type="dxa"/>
          </w:tcPr>
          <w:p w:rsidR="008423E4" w:rsidRPr="00861995" w:rsidRDefault="00951E3C" w:rsidP="005711CA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B32F91" w:rsidTr="00345119">
        <w:tc>
          <w:tcPr>
            <w:tcW w:w="9576" w:type="dxa"/>
          </w:tcPr>
          <w:p w:rsidR="008423E4" w:rsidRPr="00861995" w:rsidRDefault="00951E3C" w:rsidP="00345119">
            <w:pPr>
              <w:jc w:val="right"/>
            </w:pPr>
            <w:r>
              <w:t>Elections</w:t>
            </w:r>
          </w:p>
        </w:tc>
      </w:tr>
      <w:tr w:rsidR="00B32F91" w:rsidTr="00345119">
        <w:tc>
          <w:tcPr>
            <w:tcW w:w="9576" w:type="dxa"/>
          </w:tcPr>
          <w:p w:rsidR="008423E4" w:rsidRDefault="00951E3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51E3C" w:rsidP="008423E4">
      <w:pPr>
        <w:tabs>
          <w:tab w:val="right" w:pos="9360"/>
        </w:tabs>
      </w:pPr>
    </w:p>
    <w:p w:rsidR="008423E4" w:rsidRDefault="00951E3C" w:rsidP="008423E4"/>
    <w:p w:rsidR="008423E4" w:rsidRDefault="00951E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32F91" w:rsidTr="005711CA">
        <w:tc>
          <w:tcPr>
            <w:tcW w:w="9582" w:type="dxa"/>
          </w:tcPr>
          <w:p w:rsidR="008423E4" w:rsidRPr="00A8133F" w:rsidRDefault="00951E3C" w:rsidP="00E757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1E3C" w:rsidP="00E75767"/>
          <w:p w:rsidR="008423E4" w:rsidRDefault="00951E3C" w:rsidP="00E75767">
            <w:pPr>
              <w:pStyle w:val="Header"/>
              <w:jc w:val="both"/>
            </w:pPr>
            <w:r>
              <w:t xml:space="preserve">Interested parties contend that the current </w:t>
            </w:r>
            <w:r>
              <w:t>manner in</w:t>
            </w:r>
            <w:r>
              <w:t xml:space="preserve"> which some voters receive </w:t>
            </w:r>
            <w:r>
              <w:t xml:space="preserve">an </w:t>
            </w:r>
            <w:r>
              <w:t xml:space="preserve">initial </w:t>
            </w:r>
            <w:r>
              <w:t xml:space="preserve">or renewal </w:t>
            </w:r>
            <w:r>
              <w:t xml:space="preserve">voter registration certificate </w:t>
            </w:r>
            <w:r>
              <w:t xml:space="preserve">immediately preceding an election in which the voter will not be eligible to vote </w:t>
            </w:r>
            <w:r>
              <w:t xml:space="preserve">creates confusion </w:t>
            </w:r>
            <w:r>
              <w:t>regarding</w:t>
            </w:r>
            <w:r>
              <w:t xml:space="preserve"> voter eligibility. </w:t>
            </w:r>
            <w:r>
              <w:t>C.S.</w:t>
            </w:r>
            <w:r>
              <w:t xml:space="preserve">H.B. 530 seeks to address this issue by prohibiting a voter registrar from delivering an initial </w:t>
            </w:r>
            <w:r>
              <w:t xml:space="preserve">or renewal </w:t>
            </w:r>
            <w:r>
              <w:t>voter registrat</w:t>
            </w:r>
            <w:r>
              <w:t xml:space="preserve">ion certificate </w:t>
            </w:r>
            <w:r>
              <w:t xml:space="preserve">during a </w:t>
            </w:r>
            <w:r>
              <w:t>specified</w:t>
            </w:r>
            <w:r>
              <w:t xml:space="preserve"> timeframe</w:t>
            </w:r>
            <w:r>
              <w:t>.</w:t>
            </w:r>
          </w:p>
          <w:p w:rsidR="008423E4" w:rsidRPr="00E26B13" w:rsidRDefault="00951E3C" w:rsidP="00E75767">
            <w:pPr>
              <w:rPr>
                <w:b/>
              </w:rPr>
            </w:pPr>
          </w:p>
        </w:tc>
      </w:tr>
      <w:tr w:rsidR="00B32F91" w:rsidTr="005711CA">
        <w:tc>
          <w:tcPr>
            <w:tcW w:w="9582" w:type="dxa"/>
          </w:tcPr>
          <w:p w:rsidR="0017725B" w:rsidRDefault="00951E3C" w:rsidP="00E757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1E3C" w:rsidP="00E75767">
            <w:pPr>
              <w:rPr>
                <w:b/>
                <w:u w:val="single"/>
              </w:rPr>
            </w:pPr>
          </w:p>
          <w:p w:rsidR="00F75DF0" w:rsidRPr="00F75DF0" w:rsidRDefault="00951E3C" w:rsidP="00E7576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951E3C" w:rsidP="00E75767">
            <w:pPr>
              <w:rPr>
                <w:b/>
                <w:u w:val="single"/>
              </w:rPr>
            </w:pPr>
          </w:p>
        </w:tc>
      </w:tr>
      <w:tr w:rsidR="00B32F91" w:rsidTr="005711CA">
        <w:tc>
          <w:tcPr>
            <w:tcW w:w="9582" w:type="dxa"/>
          </w:tcPr>
          <w:p w:rsidR="008423E4" w:rsidRPr="00A8133F" w:rsidRDefault="00951E3C" w:rsidP="00E757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1E3C" w:rsidP="00E75767"/>
          <w:p w:rsidR="00F75DF0" w:rsidRDefault="00951E3C" w:rsidP="00E75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951E3C" w:rsidP="00E75767">
            <w:pPr>
              <w:rPr>
                <w:b/>
              </w:rPr>
            </w:pPr>
          </w:p>
        </w:tc>
      </w:tr>
      <w:tr w:rsidR="00B32F91" w:rsidTr="005711CA">
        <w:tc>
          <w:tcPr>
            <w:tcW w:w="9582" w:type="dxa"/>
          </w:tcPr>
          <w:p w:rsidR="008423E4" w:rsidRPr="00A8133F" w:rsidRDefault="00951E3C" w:rsidP="00E757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1E3C" w:rsidP="00E75767"/>
          <w:p w:rsidR="008423E4" w:rsidRDefault="00951E3C" w:rsidP="00E75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530 amends the Election Code to prohibit </w:t>
            </w:r>
            <w:r>
              <w:t xml:space="preserve">a </w:t>
            </w:r>
            <w:r>
              <w:t xml:space="preserve">voter registrar from delivering </w:t>
            </w:r>
            <w:r w:rsidRPr="000977A7">
              <w:t>an initial</w:t>
            </w:r>
            <w:r>
              <w:t xml:space="preserve"> </w:t>
            </w:r>
            <w:r w:rsidRPr="00F75DF0">
              <w:t xml:space="preserve">voter registration </w:t>
            </w:r>
            <w:r w:rsidRPr="000977A7">
              <w:t>certificate</w:t>
            </w:r>
            <w:r>
              <w:t xml:space="preserve"> to an applicant or the applicant's agent, as applicable,</w:t>
            </w:r>
            <w:r w:rsidRPr="000977A7">
              <w:t xml:space="preserve"> during the 30 days immediately prece</w:t>
            </w:r>
            <w:r w:rsidRPr="000977A7">
              <w:t>ding an election in which the applicant's registration will not be effective</w:t>
            </w:r>
            <w:r>
              <w:t xml:space="preserve"> but to</w:t>
            </w:r>
            <w:r>
              <w:t xml:space="preserve"> require the registrar to deliver such a certificate in person to the applicant or applicant's agent or by mail to the applicant </w:t>
            </w:r>
            <w:r w:rsidRPr="004B5F76">
              <w:t>not later than the 45th day after the date t</w:t>
            </w:r>
            <w:r w:rsidRPr="004B5F76">
              <w:t xml:space="preserve">he registrar receives the application. </w:t>
            </w:r>
            <w:r>
              <w:t xml:space="preserve">The bill prohibits </w:t>
            </w:r>
            <w:r>
              <w:t>a</w:t>
            </w:r>
            <w:r>
              <w:t xml:space="preserve"> voter registrar from delivering a renewal voter registration certificate to a voter </w:t>
            </w:r>
            <w:r w:rsidRPr="00345C46">
              <w:t>during the 30 days immediately preceding an election in which the applicant's registration will not be effective</w:t>
            </w:r>
            <w:r w:rsidRPr="00345C46">
              <w:t xml:space="preserve">. </w:t>
            </w:r>
            <w:r>
              <w:t xml:space="preserve">   </w:t>
            </w:r>
          </w:p>
          <w:p w:rsidR="008423E4" w:rsidRPr="00835628" w:rsidRDefault="00951E3C" w:rsidP="00E75767">
            <w:pPr>
              <w:rPr>
                <w:b/>
              </w:rPr>
            </w:pPr>
          </w:p>
        </w:tc>
      </w:tr>
      <w:tr w:rsidR="00B32F91" w:rsidTr="005711CA">
        <w:tc>
          <w:tcPr>
            <w:tcW w:w="9582" w:type="dxa"/>
          </w:tcPr>
          <w:p w:rsidR="008423E4" w:rsidRPr="00A8133F" w:rsidRDefault="00951E3C" w:rsidP="00E757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1E3C" w:rsidP="00E75767"/>
          <w:p w:rsidR="008423E4" w:rsidRPr="003624F2" w:rsidRDefault="00951E3C" w:rsidP="00E75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51E3C" w:rsidP="00E75767">
            <w:pPr>
              <w:rPr>
                <w:b/>
              </w:rPr>
            </w:pPr>
          </w:p>
        </w:tc>
      </w:tr>
      <w:tr w:rsidR="00B32F91" w:rsidTr="005711CA">
        <w:tc>
          <w:tcPr>
            <w:tcW w:w="9582" w:type="dxa"/>
          </w:tcPr>
          <w:p w:rsidR="005711CA" w:rsidRDefault="00951E3C" w:rsidP="00E757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B5F76" w:rsidRDefault="00951E3C" w:rsidP="00E75767">
            <w:pPr>
              <w:jc w:val="both"/>
            </w:pPr>
          </w:p>
          <w:p w:rsidR="004B5F76" w:rsidRDefault="00951E3C" w:rsidP="00E75767">
            <w:pPr>
              <w:jc w:val="both"/>
            </w:pPr>
            <w:r>
              <w:t>While C.S.H.B. 530 may differ from the original in minor or nonsubstantive ways, the following comparison is organized and formatted in a manner that indicates the substan</w:t>
            </w:r>
            <w:r>
              <w:t>tial differences between the introduced and committee substitute versions of the bill.</w:t>
            </w:r>
          </w:p>
          <w:p w:rsidR="004B5F76" w:rsidRPr="004B5F76" w:rsidRDefault="00951E3C" w:rsidP="00E75767">
            <w:pPr>
              <w:jc w:val="both"/>
            </w:pPr>
          </w:p>
        </w:tc>
      </w:tr>
      <w:tr w:rsidR="00B32F91" w:rsidTr="005711CA">
        <w:tc>
          <w:tcPr>
            <w:tcW w:w="9582" w:type="dxa"/>
          </w:tcPr>
          <w:p w:rsidR="00E75767" w:rsidRDefault="00951E3C"/>
          <w:p w:rsidR="00E75767" w:rsidRDefault="00951E3C"/>
          <w:p w:rsidR="00E75767" w:rsidRDefault="00951E3C"/>
          <w:p w:rsidR="00E75767" w:rsidRDefault="00951E3C"/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553"/>
              <w:gridCol w:w="4793"/>
            </w:tblGrid>
            <w:tr w:rsidR="00B32F91" w:rsidTr="005711CA">
              <w:trPr>
                <w:cantSplit/>
                <w:tblHeader/>
              </w:trPr>
              <w:tc>
                <w:tcPr>
                  <w:tcW w:w="4553" w:type="dxa"/>
                  <w:tcMar>
                    <w:bottom w:w="188" w:type="dxa"/>
                  </w:tcMar>
                </w:tcPr>
                <w:p w:rsidR="005711CA" w:rsidRDefault="00951E3C" w:rsidP="00E75767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793" w:type="dxa"/>
                  <w:tcMar>
                    <w:bottom w:w="188" w:type="dxa"/>
                  </w:tcMar>
                </w:tcPr>
                <w:p w:rsidR="005711CA" w:rsidRDefault="00951E3C" w:rsidP="00E7576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32F91" w:rsidTr="005711CA">
              <w:tc>
                <w:tcPr>
                  <w:tcW w:w="4553" w:type="dxa"/>
                  <w:tcMar>
                    <w:right w:w="360" w:type="dxa"/>
                  </w:tcMar>
                </w:tcPr>
                <w:p w:rsidR="005711CA" w:rsidRDefault="00951E3C" w:rsidP="00E75767">
                  <w:pPr>
                    <w:jc w:val="both"/>
                  </w:pPr>
                  <w:r>
                    <w:t xml:space="preserve">SECTION 1.  Section 13.144, Election Code, is amended by amending Subsection (a) and adding Subsection (c) to read as </w:t>
                  </w:r>
                  <w:r>
                    <w:t>follows:</w:t>
                  </w:r>
                </w:p>
                <w:p w:rsidR="005711CA" w:rsidRDefault="00951E3C" w:rsidP="00E75767">
                  <w:pPr>
                    <w:jc w:val="both"/>
                  </w:pPr>
                  <w:r>
                    <w:t xml:space="preserve">(a)  </w:t>
                  </w:r>
                  <w:r>
                    <w:rPr>
                      <w:u w:val="single"/>
                    </w:rPr>
                    <w:t>Except as provided by Subsection (c), not</w:t>
                  </w:r>
                  <w:r>
                    <w:t xml:space="preserve"> [</w:t>
                  </w:r>
                  <w:r>
                    <w:rPr>
                      <w:strike/>
                    </w:rPr>
                    <w:t>Not</w:t>
                  </w:r>
                  <w:r>
                    <w:t>] later than the 30th day after the date the registrar receives the application, the registrar shall deliver the original of an initial certificate:</w:t>
                  </w:r>
                </w:p>
                <w:p w:rsidR="005711CA" w:rsidRDefault="00951E3C" w:rsidP="00E75767">
                  <w:pPr>
                    <w:jc w:val="both"/>
                  </w:pPr>
                  <w:r>
                    <w:t>(1)  in person to the applicant or the applican</w:t>
                  </w:r>
                  <w:r>
                    <w:t>t's agent appointed under Section 13.003; or</w:t>
                  </w:r>
                </w:p>
                <w:p w:rsidR="005711CA" w:rsidRDefault="00951E3C" w:rsidP="00E75767">
                  <w:pPr>
                    <w:jc w:val="both"/>
                  </w:pPr>
                  <w:r>
                    <w:t>(2)  by mail to the applicant.</w:t>
                  </w:r>
                </w:p>
                <w:p w:rsidR="005711CA" w:rsidRDefault="00951E3C" w:rsidP="00E75767">
                  <w:pPr>
                    <w:jc w:val="both"/>
                  </w:pPr>
                  <w:r>
                    <w:rPr>
                      <w:u w:val="single"/>
                    </w:rPr>
                    <w:t>(c)  The registrar may not deliver an initial certificate during the 30 days immediately preceding an election in which the applicant's registration will not be effective.</w:t>
                  </w:r>
                </w:p>
                <w:p w:rsidR="005711CA" w:rsidRDefault="00951E3C" w:rsidP="00E75767">
                  <w:pPr>
                    <w:jc w:val="both"/>
                  </w:pPr>
                </w:p>
              </w:tc>
              <w:tc>
                <w:tcPr>
                  <w:tcW w:w="4793" w:type="dxa"/>
                  <w:tcMar>
                    <w:left w:w="360" w:type="dxa"/>
                  </w:tcMar>
                </w:tcPr>
                <w:p w:rsidR="005711CA" w:rsidRDefault="00951E3C" w:rsidP="00E75767">
                  <w:pPr>
                    <w:jc w:val="both"/>
                  </w:pPr>
                  <w:r>
                    <w:t>SECTION</w:t>
                  </w:r>
                  <w:r>
                    <w:t xml:space="preserve"> 1.  Section 13.144, Election Code, is amended by amending Subsection (a) and adding Subsection (c) to read as follows:</w:t>
                  </w:r>
                </w:p>
                <w:p w:rsidR="004B5F76" w:rsidRDefault="00951E3C" w:rsidP="00E75767">
                  <w:pPr>
                    <w:jc w:val="both"/>
                  </w:pPr>
                </w:p>
                <w:p w:rsidR="005711CA" w:rsidRDefault="00951E3C" w:rsidP="00E75767">
                  <w:pPr>
                    <w:jc w:val="both"/>
                  </w:pPr>
                  <w:r>
                    <w:t xml:space="preserve">(a)  </w:t>
                  </w:r>
                  <w:r>
                    <w:rPr>
                      <w:u w:val="single"/>
                    </w:rPr>
                    <w:t>Except as provided by Subsection (c), not</w:t>
                  </w:r>
                  <w:r>
                    <w:t xml:space="preserve"> [</w:t>
                  </w:r>
                  <w:r>
                    <w:rPr>
                      <w:strike/>
                    </w:rPr>
                    <w:t>Not</w:t>
                  </w:r>
                  <w:r>
                    <w:t>] later than the 30th day after the date the registrar receives the application, the</w:t>
                  </w:r>
                  <w:r>
                    <w:t xml:space="preserve"> registrar shall deliver the original of an initial certificate:</w:t>
                  </w:r>
                </w:p>
                <w:p w:rsidR="005711CA" w:rsidRDefault="00951E3C" w:rsidP="00E75767">
                  <w:pPr>
                    <w:jc w:val="both"/>
                  </w:pPr>
                  <w:r>
                    <w:t>(1)  in person to the applicant or the applicant's agent appointed under Section 13.003; or</w:t>
                  </w:r>
                </w:p>
                <w:p w:rsidR="005711CA" w:rsidRDefault="00951E3C" w:rsidP="00E75767">
                  <w:pPr>
                    <w:jc w:val="both"/>
                  </w:pPr>
                  <w:r>
                    <w:t>(2)  by mail to the applicant.</w:t>
                  </w:r>
                </w:p>
                <w:p w:rsidR="005711CA" w:rsidRDefault="00951E3C" w:rsidP="00E75767">
                  <w:pPr>
                    <w:jc w:val="both"/>
                  </w:pPr>
                  <w:r>
                    <w:rPr>
                      <w:u w:val="single"/>
                    </w:rPr>
                    <w:t xml:space="preserve">(c)  The registrar may not deliver an initial certificate during the 30 days immediately preceding an election in which the applicant's registration will not be effective </w:t>
                  </w:r>
                  <w:r w:rsidRPr="004B5F76">
                    <w:rPr>
                      <w:highlight w:val="lightGray"/>
                      <w:u w:val="single"/>
                    </w:rPr>
                    <w:t>but shall deliver the certificate in the manner prescribed by Subsection (a) not late</w:t>
                  </w:r>
                  <w:r w:rsidRPr="004B5F76">
                    <w:rPr>
                      <w:highlight w:val="lightGray"/>
                      <w:u w:val="single"/>
                    </w:rPr>
                    <w:t>r than the 45th day after the date the registrar receives the application</w:t>
                  </w:r>
                  <w:r>
                    <w:rPr>
                      <w:u w:val="single"/>
                    </w:rPr>
                    <w:t>.</w:t>
                  </w:r>
                </w:p>
              </w:tc>
            </w:tr>
            <w:tr w:rsidR="00B32F91" w:rsidTr="005711CA">
              <w:tc>
                <w:tcPr>
                  <w:tcW w:w="4553" w:type="dxa"/>
                  <w:tcMar>
                    <w:right w:w="360" w:type="dxa"/>
                  </w:tcMar>
                </w:tcPr>
                <w:p w:rsidR="005711CA" w:rsidRDefault="00951E3C" w:rsidP="00E75767">
                  <w:pPr>
                    <w:jc w:val="both"/>
                  </w:pPr>
                  <w:r w:rsidRPr="004B5F76">
                    <w:rPr>
                      <w:highlight w:val="lightGray"/>
                    </w:rPr>
                    <w:t>No equivalent provision.</w:t>
                  </w:r>
                </w:p>
                <w:p w:rsidR="005711CA" w:rsidRDefault="00951E3C" w:rsidP="00E75767">
                  <w:pPr>
                    <w:jc w:val="both"/>
                  </w:pPr>
                </w:p>
              </w:tc>
              <w:tc>
                <w:tcPr>
                  <w:tcW w:w="4793" w:type="dxa"/>
                  <w:tcMar>
                    <w:left w:w="360" w:type="dxa"/>
                  </w:tcMar>
                </w:tcPr>
                <w:p w:rsidR="005711CA" w:rsidRDefault="00951E3C" w:rsidP="00E75767">
                  <w:pPr>
                    <w:jc w:val="both"/>
                  </w:pPr>
                  <w:r>
                    <w:t>SECTION 2.  Section 14.001, Election Code, is amended by adding Subsection (e) to read as follows:</w:t>
                  </w:r>
                </w:p>
                <w:p w:rsidR="005711CA" w:rsidRDefault="00951E3C" w:rsidP="00E75767">
                  <w:pPr>
                    <w:jc w:val="both"/>
                  </w:pPr>
                  <w:r>
                    <w:rPr>
                      <w:u w:val="single"/>
                    </w:rPr>
                    <w:t xml:space="preserve">(e)  Notwithstanding Subsection (d), the registrar may </w:t>
                  </w:r>
                  <w:r>
                    <w:rPr>
                      <w:u w:val="single"/>
                    </w:rPr>
                    <w:t>not deliver a renewal certificate during the 30 days immediately preceding an election in which the applicant's registration will not be effective.</w:t>
                  </w:r>
                </w:p>
              </w:tc>
            </w:tr>
            <w:tr w:rsidR="00B32F91" w:rsidTr="005711CA">
              <w:tc>
                <w:tcPr>
                  <w:tcW w:w="4553" w:type="dxa"/>
                  <w:tcMar>
                    <w:right w:w="360" w:type="dxa"/>
                  </w:tcMar>
                </w:tcPr>
                <w:p w:rsidR="005711CA" w:rsidRDefault="00951E3C" w:rsidP="00E75767">
                  <w:pPr>
                    <w:jc w:val="both"/>
                  </w:pPr>
                  <w:r>
                    <w:t>SECTION 2.  The change in law made by this Act applies only to a voter registration certificate for which a</w:t>
                  </w:r>
                  <w:r>
                    <w:t>n application is received by the voter registrar on or after September 1, 2017.</w:t>
                  </w:r>
                </w:p>
              </w:tc>
              <w:tc>
                <w:tcPr>
                  <w:tcW w:w="4793" w:type="dxa"/>
                  <w:tcMar>
                    <w:left w:w="360" w:type="dxa"/>
                  </w:tcMar>
                </w:tcPr>
                <w:p w:rsidR="005711CA" w:rsidRDefault="00951E3C" w:rsidP="00E75767">
                  <w:pPr>
                    <w:jc w:val="both"/>
                  </w:pPr>
                  <w:r>
                    <w:t>SECTION 3. Same as introduced version.</w:t>
                  </w:r>
                </w:p>
                <w:p w:rsidR="005711CA" w:rsidRDefault="00951E3C" w:rsidP="00E75767">
                  <w:pPr>
                    <w:jc w:val="both"/>
                  </w:pPr>
                </w:p>
                <w:p w:rsidR="005711CA" w:rsidRDefault="00951E3C" w:rsidP="00E75767">
                  <w:pPr>
                    <w:jc w:val="both"/>
                  </w:pPr>
                </w:p>
              </w:tc>
            </w:tr>
            <w:tr w:rsidR="00B32F91" w:rsidTr="005711CA">
              <w:tc>
                <w:tcPr>
                  <w:tcW w:w="4553" w:type="dxa"/>
                  <w:tcMar>
                    <w:right w:w="360" w:type="dxa"/>
                  </w:tcMar>
                </w:tcPr>
                <w:p w:rsidR="005711CA" w:rsidRDefault="00951E3C" w:rsidP="00E75767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793" w:type="dxa"/>
                  <w:tcMar>
                    <w:left w:w="360" w:type="dxa"/>
                  </w:tcMar>
                </w:tcPr>
                <w:p w:rsidR="005711CA" w:rsidRDefault="00951E3C" w:rsidP="00E75767">
                  <w:pPr>
                    <w:jc w:val="both"/>
                  </w:pPr>
                  <w:r>
                    <w:t>SECTION 4. Same as introduced version.</w:t>
                  </w:r>
                </w:p>
                <w:p w:rsidR="005711CA" w:rsidRDefault="00951E3C" w:rsidP="00E75767">
                  <w:pPr>
                    <w:jc w:val="both"/>
                  </w:pPr>
                </w:p>
              </w:tc>
            </w:tr>
          </w:tbl>
          <w:p w:rsidR="005711CA" w:rsidRDefault="00951E3C" w:rsidP="00E75767"/>
          <w:p w:rsidR="005711CA" w:rsidRPr="009C1E9A" w:rsidRDefault="00951E3C" w:rsidP="00E75767">
            <w:pPr>
              <w:rPr>
                <w:b/>
                <w:u w:val="single"/>
              </w:rPr>
            </w:pPr>
          </w:p>
        </w:tc>
      </w:tr>
    </w:tbl>
    <w:p w:rsidR="008423E4" w:rsidRPr="00BE0E75" w:rsidRDefault="00951E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1E3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1E3C">
      <w:r>
        <w:separator/>
      </w:r>
    </w:p>
  </w:endnote>
  <w:endnote w:type="continuationSeparator" w:id="0">
    <w:p w:rsidR="00000000" w:rsidRDefault="0095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02" w:rsidRDefault="00951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2F91" w:rsidTr="009C1E9A">
      <w:trPr>
        <w:cantSplit/>
      </w:trPr>
      <w:tc>
        <w:tcPr>
          <w:tcW w:w="0" w:type="pct"/>
        </w:tcPr>
        <w:p w:rsidR="00137D90" w:rsidRDefault="00951E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1E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1E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1E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1E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F91" w:rsidTr="009C1E9A">
      <w:trPr>
        <w:cantSplit/>
      </w:trPr>
      <w:tc>
        <w:tcPr>
          <w:tcW w:w="0" w:type="pct"/>
        </w:tcPr>
        <w:p w:rsidR="00EC379B" w:rsidRDefault="00951E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1E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24532</w:t>
          </w:r>
        </w:p>
      </w:tc>
      <w:tc>
        <w:tcPr>
          <w:tcW w:w="2453" w:type="pct"/>
        </w:tcPr>
        <w:p w:rsidR="00EC379B" w:rsidRDefault="00951E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17.109.797</w:t>
          </w:r>
          <w:r>
            <w:fldChar w:fldCharType="end"/>
          </w:r>
        </w:p>
      </w:tc>
    </w:tr>
    <w:tr w:rsidR="00B32F91" w:rsidTr="009C1E9A">
      <w:trPr>
        <w:cantSplit/>
      </w:trPr>
      <w:tc>
        <w:tcPr>
          <w:tcW w:w="0" w:type="pct"/>
        </w:tcPr>
        <w:p w:rsidR="00EC379B" w:rsidRDefault="00951E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1E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19358</w:t>
          </w:r>
        </w:p>
      </w:tc>
      <w:tc>
        <w:tcPr>
          <w:tcW w:w="2453" w:type="pct"/>
        </w:tcPr>
        <w:p w:rsidR="00EC379B" w:rsidRDefault="00951E3C" w:rsidP="006D504F">
          <w:pPr>
            <w:pStyle w:val="Footer"/>
            <w:rPr>
              <w:rStyle w:val="PageNumber"/>
            </w:rPr>
          </w:pPr>
        </w:p>
        <w:p w:rsidR="00EC379B" w:rsidRDefault="00951E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F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1E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1E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1E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02" w:rsidRDefault="00951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1E3C">
      <w:r>
        <w:separator/>
      </w:r>
    </w:p>
  </w:footnote>
  <w:footnote w:type="continuationSeparator" w:id="0">
    <w:p w:rsidR="00000000" w:rsidRDefault="0095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02" w:rsidRDefault="00951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02" w:rsidRDefault="00951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02" w:rsidRDefault="00951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91"/>
    <w:rsid w:val="00951E3C"/>
    <w:rsid w:val="00B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5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5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5DF0"/>
  </w:style>
  <w:style w:type="paragraph" w:styleId="CommentSubject">
    <w:name w:val="annotation subject"/>
    <w:basedOn w:val="CommentText"/>
    <w:next w:val="CommentText"/>
    <w:link w:val="CommentSubjectChar"/>
    <w:rsid w:val="00F75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5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5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5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5DF0"/>
  </w:style>
  <w:style w:type="paragraph" w:styleId="CommentSubject">
    <w:name w:val="annotation subject"/>
    <w:basedOn w:val="CommentText"/>
    <w:next w:val="CommentText"/>
    <w:link w:val="CommentSubjectChar"/>
    <w:rsid w:val="00F75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5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3523</Characters>
  <Application>Microsoft Office Word</Application>
  <DocSecurity>4</DocSecurity>
  <Lines>122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HB00530 (Committee Report (Substituted))</vt:lpstr>
    </vt:vector>
  </TitlesOfParts>
  <Company>State of Texas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24532</dc:subject>
  <dc:creator>State of Texas</dc:creator>
  <dc:description>HB 530 by Schofield-(H)Elections (Substitute Document Number: 85R 19358)</dc:description>
  <cp:lastModifiedBy>Molly Hoffman-Bricker</cp:lastModifiedBy>
  <cp:revision>2</cp:revision>
  <cp:lastPrinted>2017-04-20T17:09:00Z</cp:lastPrinted>
  <dcterms:created xsi:type="dcterms:W3CDTF">2017-04-26T23:21:00Z</dcterms:created>
  <dcterms:modified xsi:type="dcterms:W3CDTF">2017-04-26T23:21:00Z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17.109.797</vt:lpwstr>
  </property>
</Properties>
</file>