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2ABF" w:rsidTr="00345119">
        <w:tc>
          <w:tcPr>
            <w:tcW w:w="9576" w:type="dxa"/>
            <w:noWrap/>
          </w:tcPr>
          <w:p w:rsidR="008423E4" w:rsidRPr="0022177D" w:rsidRDefault="00C706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06D5" w:rsidP="008423E4">
      <w:pPr>
        <w:jc w:val="center"/>
      </w:pPr>
    </w:p>
    <w:p w:rsidR="008423E4" w:rsidRPr="00B31F0E" w:rsidRDefault="00C706D5" w:rsidP="008423E4"/>
    <w:p w:rsidR="008423E4" w:rsidRPr="00742794" w:rsidRDefault="00C706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2ABF" w:rsidTr="00345119">
        <w:tc>
          <w:tcPr>
            <w:tcW w:w="9576" w:type="dxa"/>
          </w:tcPr>
          <w:p w:rsidR="008423E4" w:rsidRPr="00861995" w:rsidRDefault="00C706D5" w:rsidP="00345119">
            <w:pPr>
              <w:jc w:val="right"/>
            </w:pPr>
            <w:r>
              <w:t>C.S.H.B. 557</w:t>
            </w:r>
          </w:p>
        </w:tc>
      </w:tr>
      <w:tr w:rsidR="001E2ABF" w:rsidTr="00345119">
        <w:tc>
          <w:tcPr>
            <w:tcW w:w="9576" w:type="dxa"/>
          </w:tcPr>
          <w:p w:rsidR="008423E4" w:rsidRPr="00861995" w:rsidRDefault="00C706D5" w:rsidP="0017755A">
            <w:pPr>
              <w:jc w:val="right"/>
            </w:pPr>
            <w:r>
              <w:t xml:space="preserve">By: </w:t>
            </w:r>
            <w:r>
              <w:t>Collier</w:t>
            </w:r>
          </w:p>
        </w:tc>
      </w:tr>
      <w:tr w:rsidR="001E2ABF" w:rsidTr="00345119">
        <w:tc>
          <w:tcPr>
            <w:tcW w:w="9576" w:type="dxa"/>
          </w:tcPr>
          <w:p w:rsidR="008423E4" w:rsidRPr="00861995" w:rsidRDefault="00C706D5" w:rsidP="00345119">
            <w:pPr>
              <w:jc w:val="right"/>
            </w:pPr>
            <w:r>
              <w:t>Criminal Jurisprudence</w:t>
            </w:r>
          </w:p>
        </w:tc>
      </w:tr>
      <w:tr w:rsidR="001E2ABF" w:rsidTr="00345119">
        <w:tc>
          <w:tcPr>
            <w:tcW w:w="9576" w:type="dxa"/>
          </w:tcPr>
          <w:p w:rsidR="008423E4" w:rsidRDefault="00C706D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706D5" w:rsidP="008423E4">
      <w:pPr>
        <w:tabs>
          <w:tab w:val="right" w:pos="9360"/>
        </w:tabs>
      </w:pPr>
    </w:p>
    <w:p w:rsidR="008423E4" w:rsidRDefault="00C706D5" w:rsidP="008423E4"/>
    <w:p w:rsidR="008423E4" w:rsidRDefault="00C706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E2ABF" w:rsidTr="0017755A">
        <w:tc>
          <w:tcPr>
            <w:tcW w:w="9582" w:type="dxa"/>
          </w:tcPr>
          <w:p w:rsidR="008423E4" w:rsidRPr="00A8133F" w:rsidRDefault="00C706D5" w:rsidP="00D667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06D5" w:rsidP="00D66753"/>
          <w:p w:rsidR="008423E4" w:rsidRDefault="00C706D5" w:rsidP="00D66753">
            <w:pPr>
              <w:pStyle w:val="Header"/>
              <w:jc w:val="both"/>
            </w:pPr>
            <w:r>
              <w:t>Interested parties contend th</w:t>
            </w:r>
            <w:r>
              <w:t>at</w:t>
            </w:r>
            <w:r>
              <w:t xml:space="preserve"> certain conditions on the ability of an attorney representing the state to request</w:t>
            </w:r>
            <w:r w:rsidRPr="007B5B8C">
              <w:t xml:space="preserve"> an order of expunction for an acquitted person </w:t>
            </w:r>
            <w:r>
              <w:t xml:space="preserve">should be </w:t>
            </w:r>
            <w:r>
              <w:t>removed to reduce some of the time and cost burdens placed on the acquitted person</w:t>
            </w:r>
            <w:r>
              <w:t xml:space="preserve"> in obtaining the expunction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> </w:t>
            </w:r>
            <w:r>
              <w:t>557 seeks to revis</w:t>
            </w:r>
            <w:r>
              <w:t>e</w:t>
            </w:r>
            <w:r>
              <w:t xml:space="preserve"> the </w:t>
            </w:r>
            <w:r>
              <w:t>procedure</w:t>
            </w:r>
            <w:r>
              <w:t xml:space="preserve"> regarding a request for </w:t>
            </w:r>
            <w:r w:rsidRPr="00264EFC">
              <w:t>an order of expunct</w:t>
            </w:r>
            <w:r w:rsidRPr="00264EFC">
              <w:t xml:space="preserve">ion for an acquitted person </w:t>
            </w:r>
            <w:r>
              <w:t xml:space="preserve">made by an attorney representing the state. </w:t>
            </w:r>
          </w:p>
          <w:p w:rsidR="008423E4" w:rsidRPr="00E26B13" w:rsidRDefault="00C706D5" w:rsidP="00D66753">
            <w:pPr>
              <w:rPr>
                <w:b/>
              </w:rPr>
            </w:pPr>
          </w:p>
        </w:tc>
      </w:tr>
      <w:tr w:rsidR="001E2ABF" w:rsidTr="0017755A">
        <w:tc>
          <w:tcPr>
            <w:tcW w:w="9582" w:type="dxa"/>
          </w:tcPr>
          <w:p w:rsidR="0017725B" w:rsidRDefault="00C706D5" w:rsidP="00D667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06D5" w:rsidP="00D66753">
            <w:pPr>
              <w:rPr>
                <w:b/>
                <w:u w:val="single"/>
              </w:rPr>
            </w:pPr>
          </w:p>
          <w:p w:rsidR="004C1F1D" w:rsidRPr="004C1F1D" w:rsidRDefault="00C706D5" w:rsidP="00D66753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C706D5" w:rsidP="00D66753">
            <w:pPr>
              <w:rPr>
                <w:b/>
                <w:u w:val="single"/>
              </w:rPr>
            </w:pPr>
          </w:p>
        </w:tc>
      </w:tr>
      <w:tr w:rsidR="001E2ABF" w:rsidTr="0017755A">
        <w:tc>
          <w:tcPr>
            <w:tcW w:w="9582" w:type="dxa"/>
          </w:tcPr>
          <w:p w:rsidR="008423E4" w:rsidRPr="00A8133F" w:rsidRDefault="00C706D5" w:rsidP="00D667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06D5" w:rsidP="00D66753"/>
          <w:p w:rsidR="004C1F1D" w:rsidRDefault="00C706D5" w:rsidP="00D667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C706D5" w:rsidP="00D66753">
            <w:pPr>
              <w:rPr>
                <w:b/>
              </w:rPr>
            </w:pPr>
          </w:p>
        </w:tc>
      </w:tr>
      <w:tr w:rsidR="001E2ABF" w:rsidTr="0017755A">
        <w:tc>
          <w:tcPr>
            <w:tcW w:w="9582" w:type="dxa"/>
          </w:tcPr>
          <w:p w:rsidR="008423E4" w:rsidRPr="00A8133F" w:rsidRDefault="00C706D5" w:rsidP="00D667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06D5" w:rsidP="00D66753"/>
          <w:p w:rsidR="008423E4" w:rsidRDefault="00C706D5" w:rsidP="00D667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557 amends the Code of Criminal Procedure to </w:t>
            </w:r>
            <w:r>
              <w:t xml:space="preserve">include </w:t>
            </w:r>
            <w:r>
              <w:t xml:space="preserve">the attorney for the state as </w:t>
            </w:r>
            <w:r>
              <w:t>a person whose</w:t>
            </w:r>
            <w:r>
              <w:t xml:space="preserve"> request</w:t>
            </w:r>
            <w:r>
              <w:t xml:space="preserve"> for</w:t>
            </w:r>
            <w:r>
              <w:t xml:space="preserve"> an order of expunction for a</w:t>
            </w:r>
            <w:r>
              <w:t xml:space="preserve">n </w:t>
            </w:r>
            <w:r>
              <w:t>acquitted</w:t>
            </w:r>
            <w:r>
              <w:t xml:space="preserve"> person entitled to </w:t>
            </w:r>
            <w:r>
              <w:t>expunction</w:t>
            </w:r>
            <w:r>
              <w:t xml:space="preserve"> </w:t>
            </w:r>
            <w:r>
              <w:t>tri</w:t>
            </w:r>
            <w:r>
              <w:t>ggers the requirement for the applicable district court to enter an order of expunction by the requisite deadline</w:t>
            </w:r>
            <w:r>
              <w:t>, provided the attorney for the state makes the request with the consent of the acquitted person,</w:t>
            </w:r>
            <w:r>
              <w:t xml:space="preserve"> and </w:t>
            </w:r>
            <w:r>
              <w:t>to specify</w:t>
            </w:r>
            <w:r>
              <w:t xml:space="preserve"> that the party requesting the </w:t>
            </w:r>
            <w:r>
              <w:t>order of expunction is the person</w:t>
            </w:r>
            <w:r>
              <w:t xml:space="preserve"> required</w:t>
            </w:r>
            <w:r>
              <w:t xml:space="preserve"> to provide to the district court </w:t>
            </w:r>
            <w:r>
              <w:t xml:space="preserve">all of the information required in a petition for expunction. The bill </w:t>
            </w:r>
            <w:r>
              <w:t>requires</w:t>
            </w:r>
            <w:r>
              <w:t xml:space="preserve"> the attorney for the state to </w:t>
            </w:r>
            <w:r>
              <w:t>prepare</w:t>
            </w:r>
            <w:r>
              <w:t xml:space="preserve"> the </w:t>
            </w:r>
            <w:r>
              <w:t xml:space="preserve">expunction </w:t>
            </w:r>
            <w:r>
              <w:t xml:space="preserve">order for the court's signature </w:t>
            </w:r>
            <w:r>
              <w:t xml:space="preserve">if </w:t>
            </w:r>
            <w:r>
              <w:t xml:space="preserve">the </w:t>
            </w:r>
            <w:r>
              <w:t>attorney</w:t>
            </w:r>
            <w:r>
              <w:t xml:space="preserve"> for the state requested the order of expunction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C706D5" w:rsidP="00D66753">
            <w:pPr>
              <w:rPr>
                <w:b/>
              </w:rPr>
            </w:pPr>
          </w:p>
        </w:tc>
      </w:tr>
      <w:tr w:rsidR="001E2ABF" w:rsidTr="0017755A">
        <w:tc>
          <w:tcPr>
            <w:tcW w:w="9582" w:type="dxa"/>
          </w:tcPr>
          <w:p w:rsidR="008423E4" w:rsidRPr="00A8133F" w:rsidRDefault="00C706D5" w:rsidP="00D667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06D5" w:rsidP="00D66753"/>
          <w:p w:rsidR="008423E4" w:rsidRPr="003624F2" w:rsidRDefault="00C706D5" w:rsidP="00D667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706D5" w:rsidP="00D66753">
            <w:pPr>
              <w:rPr>
                <w:b/>
              </w:rPr>
            </w:pPr>
          </w:p>
        </w:tc>
      </w:tr>
      <w:tr w:rsidR="001E2ABF" w:rsidTr="0017755A">
        <w:tc>
          <w:tcPr>
            <w:tcW w:w="9582" w:type="dxa"/>
          </w:tcPr>
          <w:p w:rsidR="0017755A" w:rsidRDefault="00C706D5" w:rsidP="00D6675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A696D" w:rsidRDefault="00C706D5" w:rsidP="00D66753">
            <w:pPr>
              <w:jc w:val="both"/>
            </w:pPr>
          </w:p>
          <w:p w:rsidR="001A696D" w:rsidRDefault="00C706D5" w:rsidP="00D66753">
            <w:pPr>
              <w:jc w:val="both"/>
            </w:pPr>
            <w:r>
              <w:t xml:space="preserve">While C.S.H.B. </w:t>
            </w:r>
            <w:r>
              <w:t xml:space="preserve">557 </w:t>
            </w:r>
            <w:r>
              <w:t xml:space="preserve">may differ from the original in minor or nonsubstantive ways, the 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1A696D" w:rsidRPr="001A696D" w:rsidRDefault="00C706D5" w:rsidP="00D66753">
            <w:pPr>
              <w:jc w:val="both"/>
            </w:pPr>
          </w:p>
        </w:tc>
      </w:tr>
      <w:tr w:rsidR="001E2ABF" w:rsidTr="0017755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E2ABF" w:rsidTr="0017755A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17755A" w:rsidRDefault="00C706D5" w:rsidP="00D6675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17755A" w:rsidRDefault="00C706D5" w:rsidP="00D6675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E2ABF" w:rsidTr="0017755A">
              <w:tc>
                <w:tcPr>
                  <w:tcW w:w="4673" w:type="dxa"/>
                  <w:tcMar>
                    <w:right w:w="360" w:type="dxa"/>
                  </w:tcMar>
                </w:tcPr>
                <w:p w:rsidR="0017755A" w:rsidRDefault="00C706D5" w:rsidP="00D66753">
                  <w:pPr>
                    <w:jc w:val="both"/>
                  </w:pPr>
                  <w:r>
                    <w:t xml:space="preserve">SECTION 1.  Section 1, Article 55.02, Code of Criminal Procedure, is amended to read </w:t>
                  </w:r>
                  <w:r>
                    <w:lastRenderedPageBreak/>
                    <w:t>as follows:</w:t>
                  </w:r>
                </w:p>
                <w:p w:rsidR="00C90029" w:rsidRDefault="00C706D5" w:rsidP="00D66753">
                  <w:pPr>
                    <w:jc w:val="both"/>
                  </w:pPr>
                  <w:r>
                    <w:t xml:space="preserve">Sec. 1.  At the request of the </w:t>
                  </w:r>
                  <w:r>
                    <w:rPr>
                      <w:u w:val="single"/>
                    </w:rPr>
                    <w:t>acquitted 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>] and after notice to the state</w:t>
                  </w:r>
                  <w:r>
                    <w:rPr>
                      <w:u w:val="single"/>
                    </w:rPr>
                    <w:t>, or at the request of the attorney for the state</w:t>
                  </w:r>
                  <w:r>
                    <w:t>, the trial court pre</w:t>
                  </w:r>
                  <w:r>
                    <w:t xml:space="preserve">siding over the case in which the </w:t>
                  </w:r>
                  <w:r>
                    <w:rPr>
                      <w:u w:val="single"/>
                    </w:rPr>
                    <w:t>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>] was acquitted, if the trial court is a district court, or a district court in the county in which the trial court is located shall enter an order of expunction for a person entitled to expunction under A</w:t>
                  </w:r>
                  <w:r>
                    <w:t xml:space="preserve">rticle 55.01(a)(1)(A) not later than the 30th day after the date of the acquittal. </w:t>
                  </w:r>
                  <w:r>
                    <w:rPr>
                      <w:u w:val="single"/>
                    </w:rPr>
                    <w:t>On</w:t>
                  </w:r>
                  <w:r>
                    <w:t xml:space="preserve"> [</w:t>
                  </w:r>
                  <w:r>
                    <w:rPr>
                      <w:strike/>
                    </w:rPr>
                    <w:t>Upon</w:t>
                  </w:r>
                  <w:r>
                    <w:t xml:space="preserve">] acquittal, the trial court shall advise the </w:t>
                  </w:r>
                  <w:r>
                    <w:rPr>
                      <w:u w:val="single"/>
                    </w:rPr>
                    <w:t>acquitted 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 xml:space="preserve">] of the right to expunction. </w:t>
                  </w:r>
                </w:p>
                <w:p w:rsidR="00C90029" w:rsidRDefault="00C706D5" w:rsidP="00D66753">
                  <w:pPr>
                    <w:jc w:val="both"/>
                  </w:pPr>
                </w:p>
                <w:p w:rsidR="0017755A" w:rsidRDefault="00C706D5" w:rsidP="00D66753">
                  <w:pPr>
                    <w:jc w:val="both"/>
                  </w:pPr>
                  <w:r>
                    <w:t xml:space="preserve">The </w:t>
                  </w:r>
                  <w:r w:rsidRPr="006E67C4">
                    <w:rPr>
                      <w:highlight w:val="lightGray"/>
                      <w:u w:val="single"/>
                    </w:rPr>
                    <w:t>acquitted person or the attorney for the state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</w:t>
                  </w:r>
                  <w:r>
                    <w:rPr>
                      <w:strike/>
                    </w:rPr>
                    <w:t>t</w:t>
                  </w:r>
                  <w:r>
                    <w:t xml:space="preserve">] shall provide to the district court all of the information required in a petition for expunction under Section 2(b). </w:t>
                  </w:r>
                  <w:r w:rsidRPr="00C90029">
                    <w:rPr>
                      <w:highlight w:val="lightGray"/>
                    </w:rPr>
                    <w:t>The [</w:t>
                  </w:r>
                  <w:r w:rsidRPr="00C90029">
                    <w:rPr>
                      <w:strike/>
                      <w:highlight w:val="lightGray"/>
                    </w:rPr>
                    <w:t>attorney for the defendant in the case in which the defendant was acquitted, if the defendant was represented by counsel, or the</w:t>
                  </w:r>
                  <w:r w:rsidRPr="00C90029">
                    <w:rPr>
                      <w:highlight w:val="lightGray"/>
                    </w:rPr>
                    <w:t>] a</w:t>
                  </w:r>
                  <w:r w:rsidRPr="00C90029">
                    <w:rPr>
                      <w:highlight w:val="lightGray"/>
                    </w:rPr>
                    <w:t>ttorney for the state[</w:t>
                  </w:r>
                  <w:r w:rsidRPr="00C90029">
                    <w:rPr>
                      <w:strike/>
                      <w:highlight w:val="lightGray"/>
                    </w:rPr>
                    <w:t xml:space="preserve">, if </w:t>
                  </w:r>
                  <w:r w:rsidRPr="006E67C4">
                    <w:rPr>
                      <w:strike/>
                      <w:highlight w:val="lightGray"/>
                    </w:rPr>
                    <w:t>the defendant was not represented by counsel,</w:t>
                  </w:r>
                  <w:r w:rsidRPr="006E67C4">
                    <w:rPr>
                      <w:highlight w:val="lightGray"/>
                    </w:rPr>
                    <w:t>]</w:t>
                  </w:r>
                  <w:r>
                    <w:t xml:space="preserve"> shall prepare the order for the court's signature.</w:t>
                  </w:r>
                </w:p>
                <w:p w:rsidR="0017755A" w:rsidRDefault="00C706D5" w:rsidP="00D6675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7755A" w:rsidRDefault="00C706D5" w:rsidP="00D66753">
                  <w:pPr>
                    <w:jc w:val="both"/>
                  </w:pPr>
                  <w:r>
                    <w:lastRenderedPageBreak/>
                    <w:t xml:space="preserve">SECTION 1.  Section 1, Article 55.02, Code of Criminal Procedure, is amended to read </w:t>
                  </w:r>
                  <w:r>
                    <w:lastRenderedPageBreak/>
                    <w:t>as follows:</w:t>
                  </w:r>
                </w:p>
                <w:p w:rsidR="00C90029" w:rsidRDefault="00C706D5" w:rsidP="00D66753">
                  <w:pPr>
                    <w:jc w:val="both"/>
                  </w:pPr>
                  <w:r>
                    <w:t xml:space="preserve">Sec. 1.  At the request of the </w:t>
                  </w:r>
                  <w:r>
                    <w:rPr>
                      <w:u w:val="single"/>
                    </w:rPr>
                    <w:t>ac</w:t>
                  </w:r>
                  <w:r>
                    <w:rPr>
                      <w:u w:val="single"/>
                    </w:rPr>
                    <w:t>quitted 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>] and after notice to the state</w:t>
                  </w:r>
                  <w:r>
                    <w:rPr>
                      <w:u w:val="single"/>
                    </w:rPr>
                    <w:t xml:space="preserve">, or at the request of the attorney for the state </w:t>
                  </w:r>
                  <w:r w:rsidRPr="006E67C4">
                    <w:rPr>
                      <w:highlight w:val="lightGray"/>
                      <w:u w:val="single"/>
                    </w:rPr>
                    <w:t>with the consent of the acquitted person</w:t>
                  </w:r>
                  <w:r>
                    <w:t xml:space="preserve">, the trial court presiding over the case in which the </w:t>
                  </w:r>
                  <w:r>
                    <w:rPr>
                      <w:u w:val="single"/>
                    </w:rPr>
                    <w:t>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>] was acquitted, if the trial court is</w:t>
                  </w:r>
                  <w:r>
                    <w:t xml:space="preserve"> a district court, or a district court in the county in which the trial court is located shall enter an order of expunction for a person entitled to expunction under Article 55.01(a)(1)(A) not later than the 30th day after the date of the acquittal. </w:t>
                  </w:r>
                  <w:r>
                    <w:rPr>
                      <w:u w:val="single"/>
                    </w:rPr>
                    <w:t>On</w:t>
                  </w:r>
                  <w:r>
                    <w:t xml:space="preserve"> [</w:t>
                  </w:r>
                  <w:r>
                    <w:rPr>
                      <w:strike/>
                    </w:rPr>
                    <w:t>Up</w:t>
                  </w:r>
                  <w:r>
                    <w:rPr>
                      <w:strike/>
                    </w:rPr>
                    <w:t>on</w:t>
                  </w:r>
                  <w:r>
                    <w:t xml:space="preserve">] acquittal, the trial court shall advise the </w:t>
                  </w:r>
                  <w:r>
                    <w:rPr>
                      <w:u w:val="single"/>
                    </w:rPr>
                    <w:t>acquitted 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 xml:space="preserve">] of the right to expunction. </w:t>
                  </w:r>
                </w:p>
                <w:p w:rsidR="00C90029" w:rsidRDefault="00C706D5" w:rsidP="00D66753">
                  <w:pPr>
                    <w:jc w:val="both"/>
                  </w:pPr>
                  <w:r>
                    <w:t xml:space="preserve">The </w:t>
                  </w:r>
                  <w:r w:rsidRPr="006E67C4">
                    <w:rPr>
                      <w:highlight w:val="lightGray"/>
                      <w:u w:val="single"/>
                    </w:rPr>
                    <w:t>party requesting the order of expunction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defendant</w:t>
                  </w:r>
                  <w:r>
                    <w:t>] shall provide to the district court all of the information required in a petition for expunct</w:t>
                  </w:r>
                  <w:r>
                    <w:t xml:space="preserve">ion under Section 2(b).  </w:t>
                  </w:r>
                </w:p>
                <w:p w:rsidR="0017755A" w:rsidRDefault="00C706D5" w:rsidP="00D66753">
                  <w:pPr>
                    <w:jc w:val="both"/>
                  </w:pPr>
                  <w:r w:rsidRPr="00C90029">
                    <w:rPr>
                      <w:highlight w:val="lightGray"/>
                    </w:rPr>
                    <w:t xml:space="preserve">The attorney for the </w:t>
                  </w:r>
                  <w:r w:rsidRPr="00C90029">
                    <w:rPr>
                      <w:highlight w:val="lightGray"/>
                      <w:u w:val="single"/>
                    </w:rPr>
                    <w:t>acquitted person</w:t>
                  </w:r>
                  <w:r w:rsidRPr="00C90029">
                    <w:rPr>
                      <w:highlight w:val="lightGray"/>
                    </w:rPr>
                    <w:t xml:space="preserve"> [</w:t>
                  </w:r>
                  <w:r w:rsidRPr="00C90029">
                    <w:rPr>
                      <w:strike/>
                      <w:highlight w:val="lightGray"/>
                    </w:rPr>
                    <w:t>defendant</w:t>
                  </w:r>
                  <w:r w:rsidRPr="00C90029">
                    <w:rPr>
                      <w:highlight w:val="lightGray"/>
                    </w:rPr>
                    <w:t xml:space="preserve">] in the case in which the </w:t>
                  </w:r>
                  <w:r w:rsidRPr="00C90029">
                    <w:rPr>
                      <w:highlight w:val="lightGray"/>
                      <w:u w:val="single"/>
                    </w:rPr>
                    <w:t>person</w:t>
                  </w:r>
                  <w:r w:rsidRPr="00C90029">
                    <w:rPr>
                      <w:highlight w:val="lightGray"/>
                    </w:rPr>
                    <w:t xml:space="preserve"> [</w:t>
                  </w:r>
                  <w:r w:rsidRPr="00C90029">
                    <w:rPr>
                      <w:strike/>
                      <w:highlight w:val="lightGray"/>
                    </w:rPr>
                    <w:t>defendant</w:t>
                  </w:r>
                  <w:r w:rsidRPr="00C90029">
                    <w:rPr>
                      <w:highlight w:val="lightGray"/>
                    </w:rPr>
                    <w:t xml:space="preserve">] was acquitted, if the </w:t>
                  </w:r>
                  <w:r w:rsidRPr="00C90029">
                    <w:rPr>
                      <w:highlight w:val="lightGray"/>
                      <w:u w:val="single"/>
                    </w:rPr>
                    <w:t>person</w:t>
                  </w:r>
                  <w:r w:rsidRPr="00C90029">
                    <w:rPr>
                      <w:highlight w:val="lightGray"/>
                    </w:rPr>
                    <w:t xml:space="preserve"> [</w:t>
                  </w:r>
                  <w:r w:rsidRPr="00C90029">
                    <w:rPr>
                      <w:strike/>
                      <w:highlight w:val="lightGray"/>
                    </w:rPr>
                    <w:t>defendant</w:t>
                  </w:r>
                  <w:r w:rsidRPr="00C90029">
                    <w:rPr>
                      <w:highlight w:val="lightGray"/>
                    </w:rPr>
                    <w:t xml:space="preserve">] was represented by counsel, or the attorney for the state, if the </w:t>
                  </w:r>
                  <w:r w:rsidRPr="00C90029">
                    <w:rPr>
                      <w:highlight w:val="lightGray"/>
                      <w:u w:val="single"/>
                    </w:rPr>
                    <w:t>person</w:t>
                  </w:r>
                  <w:r w:rsidRPr="00C90029">
                    <w:rPr>
                      <w:highlight w:val="lightGray"/>
                    </w:rPr>
                    <w:t xml:space="preserve"> [</w:t>
                  </w:r>
                  <w:r w:rsidRPr="00C90029">
                    <w:rPr>
                      <w:strike/>
                      <w:highlight w:val="lightGray"/>
                    </w:rPr>
                    <w:t>defendant</w:t>
                  </w:r>
                  <w:r w:rsidRPr="00C90029">
                    <w:rPr>
                      <w:highlight w:val="lightGray"/>
                    </w:rPr>
                    <w:t xml:space="preserve">] was not represented by counsel </w:t>
                  </w:r>
                  <w:r w:rsidRPr="00C90029">
                    <w:rPr>
                      <w:highlight w:val="lightGray"/>
                      <w:u w:val="single"/>
                    </w:rPr>
                    <w:t>or if the attorney for the state requested the order of expunction</w:t>
                  </w:r>
                  <w:r w:rsidRPr="00C90029">
                    <w:rPr>
                      <w:highlight w:val="lightGray"/>
                    </w:rPr>
                    <w:t>,</w:t>
                  </w:r>
                  <w:r w:rsidRPr="00050E4F">
                    <w:t xml:space="preserve"> shall prepare the order for the court's signature.</w:t>
                  </w:r>
                </w:p>
                <w:p w:rsidR="0017755A" w:rsidRDefault="00C706D5" w:rsidP="00D66753">
                  <w:pPr>
                    <w:jc w:val="both"/>
                  </w:pPr>
                </w:p>
              </w:tc>
            </w:tr>
            <w:tr w:rsidR="001E2ABF" w:rsidTr="0017755A">
              <w:tc>
                <w:tcPr>
                  <w:tcW w:w="4673" w:type="dxa"/>
                  <w:tcMar>
                    <w:right w:w="360" w:type="dxa"/>
                  </w:tcMar>
                </w:tcPr>
                <w:p w:rsidR="0017755A" w:rsidRDefault="00C706D5" w:rsidP="00D66753">
                  <w:pPr>
                    <w:jc w:val="both"/>
                  </w:pPr>
                  <w:r>
                    <w:lastRenderedPageBreak/>
                    <w:t xml:space="preserve">SECTION 2.  The change in law made by this Act applies only to the expunction of arrest records and </w:t>
                  </w:r>
                  <w:r>
                    <w:t>files related to a criminal offense for which the trial of the offense begins on or after the effective date of this Act.  The expunction of arrest records and files related to a criminal offense for which the trial of the offense begins before the effecti</w:t>
                  </w:r>
                  <w:r>
                    <w:t>ve date of this Act is governed by the law in effect on the date the trial begins, and the former law is continued in effect for that purpose.</w:t>
                  </w:r>
                </w:p>
                <w:p w:rsidR="0017755A" w:rsidRDefault="00C706D5" w:rsidP="00D6675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7755A" w:rsidRDefault="00C706D5" w:rsidP="00D66753">
                  <w:pPr>
                    <w:jc w:val="both"/>
                  </w:pPr>
                  <w:r>
                    <w:t>SECTION 2. Same as introduced version.</w:t>
                  </w:r>
                </w:p>
                <w:p w:rsidR="0017755A" w:rsidRDefault="00C706D5" w:rsidP="00D66753">
                  <w:pPr>
                    <w:jc w:val="both"/>
                  </w:pPr>
                </w:p>
                <w:p w:rsidR="0017755A" w:rsidRDefault="00C706D5" w:rsidP="00D66753">
                  <w:pPr>
                    <w:jc w:val="both"/>
                  </w:pPr>
                </w:p>
              </w:tc>
            </w:tr>
            <w:tr w:rsidR="001E2ABF" w:rsidTr="0017755A">
              <w:tc>
                <w:tcPr>
                  <w:tcW w:w="4673" w:type="dxa"/>
                  <w:tcMar>
                    <w:right w:w="360" w:type="dxa"/>
                  </w:tcMar>
                </w:tcPr>
                <w:p w:rsidR="0017755A" w:rsidRDefault="00C706D5" w:rsidP="00D66753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17755A" w:rsidRDefault="00C706D5" w:rsidP="00D6675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7755A" w:rsidRDefault="00C706D5" w:rsidP="00D66753">
                  <w:pPr>
                    <w:jc w:val="both"/>
                  </w:pPr>
                  <w:r>
                    <w:t xml:space="preserve">SECTION 3. Same </w:t>
                  </w:r>
                  <w:r>
                    <w:t>as introduced version.</w:t>
                  </w:r>
                </w:p>
                <w:p w:rsidR="0017755A" w:rsidRDefault="00C706D5" w:rsidP="00D66753">
                  <w:pPr>
                    <w:jc w:val="both"/>
                  </w:pPr>
                </w:p>
                <w:p w:rsidR="0017755A" w:rsidRDefault="00C706D5" w:rsidP="00D66753">
                  <w:pPr>
                    <w:jc w:val="both"/>
                  </w:pPr>
                </w:p>
              </w:tc>
            </w:tr>
          </w:tbl>
          <w:p w:rsidR="0017755A" w:rsidRDefault="00C706D5" w:rsidP="00D66753"/>
          <w:p w:rsidR="0017755A" w:rsidRPr="009C1E9A" w:rsidRDefault="00C706D5" w:rsidP="00D66753">
            <w:pPr>
              <w:rPr>
                <w:b/>
                <w:u w:val="single"/>
              </w:rPr>
            </w:pPr>
          </w:p>
        </w:tc>
      </w:tr>
    </w:tbl>
    <w:p w:rsidR="008423E4" w:rsidRPr="00BE0E75" w:rsidRDefault="00C706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06D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6D5">
      <w:r>
        <w:separator/>
      </w:r>
    </w:p>
  </w:endnote>
  <w:endnote w:type="continuationSeparator" w:id="0">
    <w:p w:rsidR="00000000" w:rsidRDefault="00C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2ABF" w:rsidTr="009C1E9A">
      <w:trPr>
        <w:cantSplit/>
      </w:trPr>
      <w:tc>
        <w:tcPr>
          <w:tcW w:w="0" w:type="pct"/>
        </w:tcPr>
        <w:p w:rsidR="00137D90" w:rsidRDefault="00C706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06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06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06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06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2ABF" w:rsidTr="009C1E9A">
      <w:trPr>
        <w:cantSplit/>
      </w:trPr>
      <w:tc>
        <w:tcPr>
          <w:tcW w:w="0" w:type="pct"/>
        </w:tcPr>
        <w:p w:rsidR="00EC379B" w:rsidRDefault="00C706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06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24348</w:t>
          </w:r>
        </w:p>
      </w:tc>
      <w:tc>
        <w:tcPr>
          <w:tcW w:w="2453" w:type="pct"/>
        </w:tcPr>
        <w:p w:rsidR="00EC379B" w:rsidRDefault="00C706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17.110.454</w:t>
          </w:r>
          <w:r>
            <w:fldChar w:fldCharType="end"/>
          </w:r>
        </w:p>
      </w:tc>
    </w:tr>
    <w:tr w:rsidR="001E2ABF" w:rsidTr="009C1E9A">
      <w:trPr>
        <w:cantSplit/>
      </w:trPr>
      <w:tc>
        <w:tcPr>
          <w:tcW w:w="0" w:type="pct"/>
        </w:tcPr>
        <w:p w:rsidR="00EC379B" w:rsidRDefault="00C706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06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19117</w:t>
          </w:r>
        </w:p>
      </w:tc>
      <w:tc>
        <w:tcPr>
          <w:tcW w:w="2453" w:type="pct"/>
        </w:tcPr>
        <w:p w:rsidR="00EC379B" w:rsidRDefault="00C706D5" w:rsidP="006D504F">
          <w:pPr>
            <w:pStyle w:val="Footer"/>
            <w:rPr>
              <w:rStyle w:val="PageNumber"/>
            </w:rPr>
          </w:pPr>
        </w:p>
        <w:p w:rsidR="00EC379B" w:rsidRDefault="00C706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2A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06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06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06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6D5">
      <w:r>
        <w:separator/>
      </w:r>
    </w:p>
  </w:footnote>
  <w:footnote w:type="continuationSeparator" w:id="0">
    <w:p w:rsidR="00000000" w:rsidRDefault="00C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F"/>
    <w:rsid w:val="001E2ABF"/>
    <w:rsid w:val="00C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56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319"/>
  </w:style>
  <w:style w:type="paragraph" w:styleId="CommentSubject">
    <w:name w:val="annotation subject"/>
    <w:basedOn w:val="CommentText"/>
    <w:next w:val="CommentText"/>
    <w:link w:val="CommentSubjectChar"/>
    <w:rsid w:val="0065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6319"/>
    <w:rPr>
      <w:b/>
      <w:bCs/>
    </w:rPr>
  </w:style>
  <w:style w:type="paragraph" w:styleId="Revision">
    <w:name w:val="Revision"/>
    <w:hidden/>
    <w:uiPriority w:val="99"/>
    <w:semiHidden/>
    <w:rsid w:val="006565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56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319"/>
  </w:style>
  <w:style w:type="paragraph" w:styleId="CommentSubject">
    <w:name w:val="annotation subject"/>
    <w:basedOn w:val="CommentText"/>
    <w:next w:val="CommentText"/>
    <w:link w:val="CommentSubjectChar"/>
    <w:rsid w:val="0065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6319"/>
    <w:rPr>
      <w:b/>
      <w:bCs/>
    </w:rPr>
  </w:style>
  <w:style w:type="paragraph" w:styleId="Revision">
    <w:name w:val="Revision"/>
    <w:hidden/>
    <w:uiPriority w:val="99"/>
    <w:semiHidden/>
    <w:rsid w:val="00656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4371</Characters>
  <Application>Microsoft Office Word</Application>
  <DocSecurity>4</DocSecurity>
  <Lines>139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HB00557 (Committee Report (Substituted))</vt:lpstr>
    </vt:vector>
  </TitlesOfParts>
  <Company>State of Texas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24348</dc:subject>
  <dc:creator>State of Texas</dc:creator>
  <dc:description>HB 557 by Collier-(H)Criminal Jurisprudence (Substitute Document Number: 85R 19117)</dc:description>
  <cp:lastModifiedBy>Alexander McMillan</cp:lastModifiedBy>
  <cp:revision>2</cp:revision>
  <cp:lastPrinted>2017-04-20T19:10:00Z</cp:lastPrinted>
  <dcterms:created xsi:type="dcterms:W3CDTF">2017-04-25T23:16:00Z</dcterms:created>
  <dcterms:modified xsi:type="dcterms:W3CDTF">2017-04-25T23:16:00Z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17.110.454</vt:lpwstr>
  </property>
</Properties>
</file>