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84633" w:rsidTr="00345119">
        <w:tc>
          <w:tcPr>
            <w:tcW w:w="9576" w:type="dxa"/>
            <w:noWrap/>
          </w:tcPr>
          <w:p w:rsidR="008423E4" w:rsidRPr="0022177D" w:rsidRDefault="00C25397" w:rsidP="00345119">
            <w:pPr>
              <w:pStyle w:val="Heading1"/>
            </w:pPr>
            <w:bookmarkStart w:id="0" w:name="_GoBack"/>
            <w:bookmarkEnd w:id="0"/>
            <w:r w:rsidRPr="00631897">
              <w:t>BILL ANALYSIS</w:t>
            </w:r>
          </w:p>
        </w:tc>
      </w:tr>
    </w:tbl>
    <w:p w:rsidR="008423E4" w:rsidRPr="0022177D" w:rsidRDefault="00C25397" w:rsidP="008423E4">
      <w:pPr>
        <w:jc w:val="center"/>
      </w:pPr>
    </w:p>
    <w:p w:rsidR="008423E4" w:rsidRPr="00B31F0E" w:rsidRDefault="00C25397" w:rsidP="008423E4"/>
    <w:p w:rsidR="008423E4" w:rsidRPr="00742794" w:rsidRDefault="00C25397" w:rsidP="008423E4">
      <w:pPr>
        <w:tabs>
          <w:tab w:val="right" w:pos="9360"/>
        </w:tabs>
      </w:pPr>
    </w:p>
    <w:tbl>
      <w:tblPr>
        <w:tblW w:w="0" w:type="auto"/>
        <w:tblLayout w:type="fixed"/>
        <w:tblLook w:val="01E0" w:firstRow="1" w:lastRow="1" w:firstColumn="1" w:lastColumn="1" w:noHBand="0" w:noVBand="0"/>
      </w:tblPr>
      <w:tblGrid>
        <w:gridCol w:w="9576"/>
      </w:tblGrid>
      <w:tr w:rsidR="00D84633" w:rsidTr="00345119">
        <w:tc>
          <w:tcPr>
            <w:tcW w:w="9576" w:type="dxa"/>
          </w:tcPr>
          <w:p w:rsidR="008423E4" w:rsidRPr="00861995" w:rsidRDefault="00C25397" w:rsidP="00345119">
            <w:pPr>
              <w:jc w:val="right"/>
            </w:pPr>
            <w:r>
              <w:t>C.S.H.B. 606</w:t>
            </w:r>
          </w:p>
        </w:tc>
      </w:tr>
      <w:tr w:rsidR="00D84633" w:rsidTr="00345119">
        <w:tc>
          <w:tcPr>
            <w:tcW w:w="9576" w:type="dxa"/>
          </w:tcPr>
          <w:p w:rsidR="008423E4" w:rsidRPr="00861995" w:rsidRDefault="00C25397" w:rsidP="00041C5A">
            <w:pPr>
              <w:jc w:val="right"/>
            </w:pPr>
            <w:r>
              <w:t xml:space="preserve">By: </w:t>
            </w:r>
            <w:r>
              <w:t>Springer</w:t>
            </w:r>
          </w:p>
        </w:tc>
      </w:tr>
      <w:tr w:rsidR="00D84633" w:rsidTr="00345119">
        <w:tc>
          <w:tcPr>
            <w:tcW w:w="9576" w:type="dxa"/>
          </w:tcPr>
          <w:p w:rsidR="008423E4" w:rsidRPr="00861995" w:rsidRDefault="00C25397" w:rsidP="00345119">
            <w:pPr>
              <w:jc w:val="right"/>
            </w:pPr>
            <w:r>
              <w:t>Judiciary &amp; Civil Jurisprudence</w:t>
            </w:r>
          </w:p>
        </w:tc>
      </w:tr>
      <w:tr w:rsidR="00D84633" w:rsidTr="00345119">
        <w:tc>
          <w:tcPr>
            <w:tcW w:w="9576" w:type="dxa"/>
          </w:tcPr>
          <w:p w:rsidR="008423E4" w:rsidRDefault="00C25397" w:rsidP="00345119">
            <w:pPr>
              <w:jc w:val="right"/>
            </w:pPr>
            <w:r>
              <w:t>Committee Report (Substituted)</w:t>
            </w:r>
          </w:p>
        </w:tc>
      </w:tr>
    </w:tbl>
    <w:p w:rsidR="008423E4" w:rsidRDefault="00C25397" w:rsidP="008423E4">
      <w:pPr>
        <w:tabs>
          <w:tab w:val="right" w:pos="9360"/>
        </w:tabs>
      </w:pPr>
    </w:p>
    <w:p w:rsidR="008423E4" w:rsidRDefault="00C25397" w:rsidP="008423E4"/>
    <w:p w:rsidR="008423E4" w:rsidRDefault="00C25397" w:rsidP="008423E4"/>
    <w:tbl>
      <w:tblPr>
        <w:tblW w:w="0" w:type="auto"/>
        <w:tblCellMar>
          <w:left w:w="115" w:type="dxa"/>
          <w:right w:w="115" w:type="dxa"/>
        </w:tblCellMar>
        <w:tblLook w:val="01E0" w:firstRow="1" w:lastRow="1" w:firstColumn="1" w:lastColumn="1" w:noHBand="0" w:noVBand="0"/>
      </w:tblPr>
      <w:tblGrid>
        <w:gridCol w:w="9582"/>
      </w:tblGrid>
      <w:tr w:rsidR="00D84633" w:rsidTr="00041C5A">
        <w:tc>
          <w:tcPr>
            <w:tcW w:w="9582" w:type="dxa"/>
          </w:tcPr>
          <w:p w:rsidR="008423E4" w:rsidRPr="00A8133F" w:rsidRDefault="00C25397" w:rsidP="00285ACD">
            <w:pPr>
              <w:rPr>
                <w:b/>
              </w:rPr>
            </w:pPr>
            <w:r w:rsidRPr="009C1E9A">
              <w:rPr>
                <w:b/>
                <w:u w:val="single"/>
              </w:rPr>
              <w:t>BACKGROUND AND PURPOSE</w:t>
            </w:r>
            <w:r>
              <w:rPr>
                <w:b/>
              </w:rPr>
              <w:t xml:space="preserve"> </w:t>
            </w:r>
          </w:p>
          <w:p w:rsidR="008423E4" w:rsidRDefault="00C25397" w:rsidP="00285ACD"/>
          <w:p w:rsidR="00EF72CF" w:rsidRDefault="00C25397" w:rsidP="00285ACD">
            <w:pPr>
              <w:pStyle w:val="Header"/>
              <w:jc w:val="both"/>
            </w:pPr>
            <w:r>
              <w:t xml:space="preserve">Interested parties contend that </w:t>
            </w:r>
            <w:r>
              <w:t xml:space="preserve">the liability of a person </w:t>
            </w:r>
            <w:r>
              <w:t xml:space="preserve">who </w:t>
            </w:r>
            <w:r>
              <w:t>allows handguns to be carried</w:t>
            </w:r>
            <w:r>
              <w:t xml:space="preserve"> </w:t>
            </w:r>
            <w:r>
              <w:t xml:space="preserve">on property </w:t>
            </w:r>
            <w:r>
              <w:t>own</w:t>
            </w:r>
            <w:r>
              <w:t>ed</w:t>
            </w:r>
            <w:r>
              <w:t xml:space="preserve">, </w:t>
            </w:r>
            <w:r>
              <w:t>lease</w:t>
            </w:r>
            <w:r>
              <w:t>d</w:t>
            </w:r>
            <w:r>
              <w:t>, or manage</w:t>
            </w:r>
            <w:r>
              <w:t>d</w:t>
            </w:r>
            <w:r>
              <w:t xml:space="preserve"> </w:t>
            </w:r>
            <w:r>
              <w:t>by the person should be limited</w:t>
            </w:r>
            <w:r>
              <w:t xml:space="preserve">. </w:t>
            </w:r>
            <w:r>
              <w:t>C.S.</w:t>
            </w:r>
            <w:r>
              <w:t xml:space="preserve">H.B. 606 seeks to provide </w:t>
            </w:r>
            <w:r>
              <w:t>for such limited liability</w:t>
            </w:r>
            <w:r>
              <w:t>.</w:t>
            </w:r>
          </w:p>
          <w:p w:rsidR="008423E4" w:rsidRPr="00E26B13" w:rsidRDefault="00C25397" w:rsidP="00285ACD">
            <w:pPr>
              <w:pStyle w:val="Header"/>
              <w:tabs>
                <w:tab w:val="clear" w:pos="4320"/>
                <w:tab w:val="clear" w:pos="8640"/>
              </w:tabs>
              <w:jc w:val="both"/>
              <w:rPr>
                <w:b/>
              </w:rPr>
            </w:pPr>
          </w:p>
        </w:tc>
      </w:tr>
      <w:tr w:rsidR="00D84633" w:rsidTr="00041C5A">
        <w:tc>
          <w:tcPr>
            <w:tcW w:w="9582" w:type="dxa"/>
          </w:tcPr>
          <w:p w:rsidR="0017725B" w:rsidRDefault="00C25397" w:rsidP="00285ACD">
            <w:pPr>
              <w:rPr>
                <w:b/>
                <w:u w:val="single"/>
              </w:rPr>
            </w:pPr>
            <w:r>
              <w:rPr>
                <w:b/>
                <w:u w:val="single"/>
              </w:rPr>
              <w:t>CRIMINAL JUSTICE IMPACT</w:t>
            </w:r>
          </w:p>
          <w:p w:rsidR="0017725B" w:rsidRDefault="00C25397" w:rsidP="00285ACD">
            <w:pPr>
              <w:rPr>
                <w:b/>
                <w:u w:val="single"/>
              </w:rPr>
            </w:pPr>
          </w:p>
          <w:p w:rsidR="00DA79BA" w:rsidRPr="00DA79BA" w:rsidRDefault="00C25397" w:rsidP="00285ACD">
            <w:pPr>
              <w:jc w:val="both"/>
            </w:pPr>
            <w:r>
              <w:t>It is the committee's opinion that this bill does not expressly create a criminal offense, increase the punishment for an ex</w:t>
            </w:r>
            <w:r>
              <w:t>isting criminal offense or category of offenses, or change the eligibility of a person for community supervision, parole, or mandatory supervision.</w:t>
            </w:r>
          </w:p>
          <w:p w:rsidR="0017725B" w:rsidRPr="0017725B" w:rsidRDefault="00C25397" w:rsidP="00285ACD">
            <w:pPr>
              <w:rPr>
                <w:b/>
                <w:u w:val="single"/>
              </w:rPr>
            </w:pPr>
          </w:p>
        </w:tc>
      </w:tr>
      <w:tr w:rsidR="00D84633" w:rsidTr="00041C5A">
        <w:tc>
          <w:tcPr>
            <w:tcW w:w="9582" w:type="dxa"/>
          </w:tcPr>
          <w:p w:rsidR="008423E4" w:rsidRPr="00A8133F" w:rsidRDefault="00C25397" w:rsidP="00285ACD">
            <w:pPr>
              <w:rPr>
                <w:b/>
              </w:rPr>
            </w:pPr>
            <w:r w:rsidRPr="009C1E9A">
              <w:rPr>
                <w:b/>
                <w:u w:val="single"/>
              </w:rPr>
              <w:t>RULEMAKING AUTHORITY</w:t>
            </w:r>
            <w:r>
              <w:rPr>
                <w:b/>
              </w:rPr>
              <w:t xml:space="preserve"> </w:t>
            </w:r>
          </w:p>
          <w:p w:rsidR="008423E4" w:rsidRDefault="00C25397" w:rsidP="00285ACD"/>
          <w:p w:rsidR="00DA79BA" w:rsidRDefault="00C25397" w:rsidP="00285ACD">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C25397" w:rsidP="00285ACD">
            <w:pPr>
              <w:rPr>
                <w:b/>
              </w:rPr>
            </w:pPr>
          </w:p>
        </w:tc>
      </w:tr>
      <w:tr w:rsidR="00D84633" w:rsidTr="00041C5A">
        <w:tc>
          <w:tcPr>
            <w:tcW w:w="9582" w:type="dxa"/>
          </w:tcPr>
          <w:p w:rsidR="008423E4" w:rsidRPr="00A8133F" w:rsidRDefault="00C25397" w:rsidP="00285ACD">
            <w:pPr>
              <w:rPr>
                <w:b/>
              </w:rPr>
            </w:pPr>
            <w:r w:rsidRPr="009C1E9A">
              <w:rPr>
                <w:b/>
                <w:u w:val="single"/>
              </w:rPr>
              <w:t>ANALYSIS</w:t>
            </w:r>
            <w:r>
              <w:rPr>
                <w:b/>
              </w:rPr>
              <w:t xml:space="preserve"> </w:t>
            </w:r>
          </w:p>
          <w:p w:rsidR="008423E4" w:rsidRDefault="00C25397" w:rsidP="00285ACD"/>
          <w:p w:rsidR="008423E4" w:rsidRDefault="00C25397" w:rsidP="00285ACD">
            <w:pPr>
              <w:pStyle w:val="Header"/>
              <w:tabs>
                <w:tab w:val="clear" w:pos="4320"/>
                <w:tab w:val="clear" w:pos="8640"/>
              </w:tabs>
              <w:jc w:val="both"/>
            </w:pPr>
            <w:r>
              <w:t>C.S.</w:t>
            </w:r>
            <w:r>
              <w:t xml:space="preserve">H.B. 606 amends the Civil Practice and Remedies Code to </w:t>
            </w:r>
            <w:r>
              <w:t xml:space="preserve">establish that there is no cause of action against </w:t>
            </w:r>
            <w:r>
              <w:t>an owner, lessee, or manager of</w:t>
            </w:r>
            <w:r w:rsidRPr="00DA79BA">
              <w:t xml:space="preserve"> property bas</w:t>
            </w:r>
            <w:r w:rsidRPr="00DA79BA">
              <w:t xml:space="preserve">ed on </w:t>
            </w:r>
            <w:r>
              <w:t>the</w:t>
            </w:r>
            <w:r w:rsidRPr="00DA79BA">
              <w:t xml:space="preserve"> </w:t>
            </w:r>
            <w:r>
              <w:t>owner's, lessee's, or manager's</w:t>
            </w:r>
            <w:r w:rsidRPr="00DA79BA">
              <w:t xml:space="preserve"> </w:t>
            </w:r>
            <w:r>
              <w:t>decision not</w:t>
            </w:r>
            <w:r w:rsidRPr="00DA79BA">
              <w:t xml:space="preserve"> </w:t>
            </w:r>
            <w:r w:rsidRPr="00DA79BA">
              <w:t xml:space="preserve">to exercise the option to forbid the carrying of handguns by </w:t>
            </w:r>
            <w:r>
              <w:t>the</w:t>
            </w:r>
            <w:r w:rsidRPr="00DA79BA">
              <w:t xml:space="preserve"> holder </w:t>
            </w:r>
            <w:r>
              <w:t>of</w:t>
            </w:r>
            <w:r>
              <w:t xml:space="preserve"> a handgun license issued </w:t>
            </w:r>
            <w:r>
              <w:t xml:space="preserve">in Texas or </w:t>
            </w:r>
            <w:r>
              <w:t xml:space="preserve">by another state and recognized in Texas </w:t>
            </w:r>
            <w:r w:rsidRPr="00DA79BA">
              <w:t xml:space="preserve">on the property </w:t>
            </w:r>
            <w:r w:rsidRPr="00DA79BA">
              <w:t xml:space="preserve">by providing notice </w:t>
            </w:r>
            <w:r>
              <w:t>under</w:t>
            </w:r>
            <w:r w:rsidRPr="00DA79BA">
              <w:t xml:space="preserve"> </w:t>
            </w:r>
            <w:r>
              <w:t>the Pe</w:t>
            </w:r>
            <w:r>
              <w:t xml:space="preserve">nal Code that </w:t>
            </w:r>
            <w:r>
              <w:t xml:space="preserve">a license holder </w:t>
            </w:r>
            <w:r>
              <w:t xml:space="preserve">may not enter the property </w:t>
            </w:r>
            <w:r>
              <w:t xml:space="preserve">with a </w:t>
            </w:r>
            <w:r>
              <w:t>concealed or openly</w:t>
            </w:r>
            <w:r>
              <w:t xml:space="preserve"> </w:t>
            </w:r>
            <w:r>
              <w:t xml:space="preserve">carried </w:t>
            </w:r>
            <w:r>
              <w:t>handgun</w:t>
            </w:r>
            <w:r w:rsidRPr="00DA79BA">
              <w:t>.</w:t>
            </w:r>
          </w:p>
          <w:p w:rsidR="008423E4" w:rsidRPr="00835628" w:rsidRDefault="00C25397" w:rsidP="00285ACD">
            <w:pPr>
              <w:rPr>
                <w:b/>
              </w:rPr>
            </w:pPr>
          </w:p>
        </w:tc>
      </w:tr>
      <w:tr w:rsidR="00D84633" w:rsidTr="00041C5A">
        <w:tc>
          <w:tcPr>
            <w:tcW w:w="9582" w:type="dxa"/>
          </w:tcPr>
          <w:p w:rsidR="008423E4" w:rsidRPr="00A8133F" w:rsidRDefault="00C25397" w:rsidP="00285ACD">
            <w:pPr>
              <w:rPr>
                <w:b/>
              </w:rPr>
            </w:pPr>
            <w:r w:rsidRPr="009C1E9A">
              <w:rPr>
                <w:b/>
                <w:u w:val="single"/>
              </w:rPr>
              <w:t>EFFECTIVE DATE</w:t>
            </w:r>
            <w:r>
              <w:rPr>
                <w:b/>
              </w:rPr>
              <w:t xml:space="preserve"> </w:t>
            </w:r>
          </w:p>
          <w:p w:rsidR="008423E4" w:rsidRDefault="00C25397" w:rsidP="00285ACD"/>
          <w:p w:rsidR="008423E4" w:rsidRDefault="00C25397" w:rsidP="00285ACD">
            <w:pPr>
              <w:pStyle w:val="Header"/>
              <w:tabs>
                <w:tab w:val="clear" w:pos="4320"/>
                <w:tab w:val="clear" w:pos="8640"/>
              </w:tabs>
              <w:jc w:val="both"/>
            </w:pPr>
            <w:r>
              <w:t>September 1, 2017.</w:t>
            </w:r>
          </w:p>
          <w:p w:rsidR="00047526" w:rsidRPr="00233FDB" w:rsidRDefault="00C25397" w:rsidP="00285ACD">
            <w:pPr>
              <w:pStyle w:val="Header"/>
              <w:tabs>
                <w:tab w:val="clear" w:pos="4320"/>
                <w:tab w:val="clear" w:pos="8640"/>
              </w:tabs>
              <w:jc w:val="both"/>
            </w:pPr>
          </w:p>
        </w:tc>
      </w:tr>
      <w:tr w:rsidR="00D84633" w:rsidTr="00041C5A">
        <w:tc>
          <w:tcPr>
            <w:tcW w:w="9582" w:type="dxa"/>
          </w:tcPr>
          <w:p w:rsidR="00041C5A" w:rsidRDefault="00C25397" w:rsidP="00285ACD">
            <w:pPr>
              <w:jc w:val="both"/>
              <w:rPr>
                <w:b/>
                <w:u w:val="single"/>
              </w:rPr>
            </w:pPr>
            <w:r>
              <w:rPr>
                <w:b/>
                <w:u w:val="single"/>
              </w:rPr>
              <w:t>COMPARISON OF ORIGINAL AND SUBSTITUTE</w:t>
            </w:r>
          </w:p>
          <w:p w:rsidR="00FF559A" w:rsidRDefault="00C25397" w:rsidP="00285ACD">
            <w:pPr>
              <w:jc w:val="both"/>
            </w:pPr>
          </w:p>
          <w:p w:rsidR="00FF559A" w:rsidRDefault="00C25397" w:rsidP="00285ACD">
            <w:pPr>
              <w:jc w:val="both"/>
            </w:pPr>
            <w:r>
              <w:t xml:space="preserve">While C.S.H.B. </w:t>
            </w:r>
            <w:r>
              <w:t xml:space="preserve">606 </w:t>
            </w:r>
            <w:r>
              <w:t xml:space="preserve">may differ from the original in minor or nonsubstantive </w:t>
            </w:r>
            <w:r>
              <w:t>ways, the following comparison is organized and formatted in a manner that indicates the substantial differences between the introduced and committee substitute versions of the bill.</w:t>
            </w:r>
          </w:p>
          <w:p w:rsidR="00FF559A" w:rsidRPr="00FF559A" w:rsidRDefault="00C25397" w:rsidP="00285ACD">
            <w:pPr>
              <w:jc w:val="both"/>
            </w:pPr>
          </w:p>
        </w:tc>
      </w:tr>
      <w:tr w:rsidR="00D84633" w:rsidTr="00041C5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84633" w:rsidTr="00041C5A">
              <w:trPr>
                <w:cantSplit/>
                <w:tblHeader/>
              </w:trPr>
              <w:tc>
                <w:tcPr>
                  <w:tcW w:w="4673" w:type="dxa"/>
                  <w:tcMar>
                    <w:bottom w:w="188" w:type="dxa"/>
                  </w:tcMar>
                </w:tcPr>
                <w:p w:rsidR="00041C5A" w:rsidRDefault="00C25397" w:rsidP="00285ACD">
                  <w:pPr>
                    <w:jc w:val="center"/>
                  </w:pPr>
                  <w:r>
                    <w:t>INTRODUCED</w:t>
                  </w:r>
                </w:p>
              </w:tc>
              <w:tc>
                <w:tcPr>
                  <w:tcW w:w="4673" w:type="dxa"/>
                  <w:tcMar>
                    <w:bottom w:w="188" w:type="dxa"/>
                  </w:tcMar>
                </w:tcPr>
                <w:p w:rsidR="00041C5A" w:rsidRDefault="00C25397" w:rsidP="00285ACD">
                  <w:pPr>
                    <w:jc w:val="center"/>
                  </w:pPr>
                  <w:r>
                    <w:t>HOUSE COMMITTEE SUBSTITUTE</w:t>
                  </w:r>
                </w:p>
              </w:tc>
            </w:tr>
            <w:tr w:rsidR="00D84633" w:rsidTr="00041C5A">
              <w:tc>
                <w:tcPr>
                  <w:tcW w:w="4673" w:type="dxa"/>
                  <w:tcMar>
                    <w:right w:w="360" w:type="dxa"/>
                  </w:tcMar>
                </w:tcPr>
                <w:p w:rsidR="00041C5A" w:rsidRDefault="00C25397" w:rsidP="00285ACD">
                  <w:pPr>
                    <w:jc w:val="both"/>
                  </w:pPr>
                  <w:r>
                    <w:t>SECTION 1.</w:t>
                  </w:r>
                  <w:r>
                    <w:t xml:space="preserve"> </w:t>
                  </w:r>
                  <w:r>
                    <w:t xml:space="preserve">Title 4, Civil </w:t>
                  </w:r>
                  <w:r>
                    <w:t>Practice and Remedies Code, is amended by adding Chapter 95A to read as follows:</w:t>
                  </w:r>
                </w:p>
                <w:p w:rsidR="00041C5A" w:rsidRDefault="00C25397" w:rsidP="00285ACD">
                  <w:pPr>
                    <w:jc w:val="both"/>
                    <w:rPr>
                      <w:u w:val="single"/>
                    </w:rPr>
                  </w:pPr>
                  <w:r>
                    <w:rPr>
                      <w:u w:val="single"/>
                    </w:rPr>
                    <w:t>CHAPTER 95A. LIMITED LIABILITY FOR CERTAIN PERSONS WHO ALLOW HANDGUNS</w:t>
                  </w:r>
                </w:p>
                <w:p w:rsidR="004A38BA" w:rsidRDefault="00C25397" w:rsidP="00285ACD">
                  <w:pPr>
                    <w:jc w:val="both"/>
                  </w:pPr>
                </w:p>
                <w:p w:rsidR="00041C5A" w:rsidRDefault="00C25397" w:rsidP="00285ACD">
                  <w:pPr>
                    <w:jc w:val="both"/>
                    <w:rPr>
                      <w:u w:val="single"/>
                    </w:rPr>
                  </w:pPr>
                  <w:r>
                    <w:rPr>
                      <w:u w:val="single"/>
                    </w:rPr>
                    <w:t>Sec. 95A.001.</w:t>
                  </w:r>
                  <w:r>
                    <w:rPr>
                      <w:u w:val="single"/>
                    </w:rPr>
                    <w:t xml:space="preserve"> </w:t>
                  </w:r>
                  <w:r>
                    <w:rPr>
                      <w:u w:val="single"/>
                    </w:rPr>
                    <w:t>DEFINITION.</w:t>
                  </w:r>
                  <w:r>
                    <w:rPr>
                      <w:u w:val="single"/>
                    </w:rPr>
                    <w:t xml:space="preserve"> </w:t>
                  </w:r>
                </w:p>
                <w:p w:rsidR="004A38BA" w:rsidRDefault="00C25397" w:rsidP="00285ACD">
                  <w:pPr>
                    <w:jc w:val="both"/>
                  </w:pPr>
                </w:p>
                <w:p w:rsidR="00041C5A" w:rsidRDefault="00C25397" w:rsidP="00285ACD">
                  <w:pPr>
                    <w:jc w:val="both"/>
                  </w:pPr>
                  <w:r>
                    <w:rPr>
                      <w:u w:val="single"/>
                    </w:rPr>
                    <w:t>Sec. 95A.002.</w:t>
                  </w:r>
                  <w:r>
                    <w:rPr>
                      <w:u w:val="single"/>
                    </w:rPr>
                    <w:t xml:space="preserve"> </w:t>
                  </w:r>
                  <w:r>
                    <w:rPr>
                      <w:u w:val="single"/>
                    </w:rPr>
                    <w:t>LIMITED LIABILITY FOR CERTAIN PERSONS WHO ALLOW HANDGUNS.</w:t>
                  </w:r>
                  <w:r>
                    <w:rPr>
                      <w:u w:val="single"/>
                    </w:rPr>
                    <w:t xml:space="preserve"> </w:t>
                  </w:r>
                  <w:r w:rsidRPr="007A41E2">
                    <w:rPr>
                      <w:highlight w:val="lightGray"/>
                      <w:u w:val="single"/>
                    </w:rPr>
                    <w:t>(a)</w:t>
                  </w:r>
                  <w:r w:rsidRPr="007A41E2">
                    <w:rPr>
                      <w:highlight w:val="lightGray"/>
                      <w:u w:val="single"/>
                    </w:rPr>
                    <w:t xml:space="preserve"> </w:t>
                  </w:r>
                  <w:r w:rsidRPr="007A41E2">
                    <w:rPr>
                      <w:highlight w:val="lightGray"/>
                      <w:u w:val="single"/>
                    </w:rPr>
                    <w:t xml:space="preserve">Except as provided by Subsection (b), a person, including a business or other entity, who owns, controls, or manages property and who has authority to forbid the carrying of handguns on the property is immune from civil liability with respect to any claim </w:t>
                  </w:r>
                  <w:r w:rsidRPr="007A41E2">
                    <w:rPr>
                      <w:highlight w:val="lightGray"/>
                      <w:u w:val="single"/>
                    </w:rPr>
                    <w:t>that is based on the person's failure</w:t>
                  </w:r>
                  <w:r>
                    <w:rPr>
                      <w:u w:val="single"/>
                    </w:rPr>
                    <w:t xml:space="preserve"> to exercise the option to forbid the carrying of handguns by a license holder on the property by providing notice under Sections 30.06 and 30.07, Penal Code.</w:t>
                  </w:r>
                </w:p>
                <w:p w:rsidR="00041C5A" w:rsidRDefault="00C25397" w:rsidP="00285ACD">
                  <w:pPr>
                    <w:jc w:val="both"/>
                  </w:pPr>
                  <w:r w:rsidRPr="00047526">
                    <w:rPr>
                      <w:highlight w:val="lightGray"/>
                      <w:u w:val="single"/>
                    </w:rPr>
                    <w:t>(b)</w:t>
                  </w:r>
                  <w:r>
                    <w:rPr>
                      <w:highlight w:val="lightGray"/>
                      <w:u w:val="single"/>
                    </w:rPr>
                    <w:t xml:space="preserve"> </w:t>
                  </w:r>
                  <w:r w:rsidRPr="00047526">
                    <w:rPr>
                      <w:highlight w:val="lightGray"/>
                      <w:u w:val="single"/>
                    </w:rPr>
                    <w:t>This section does not limit the liability of a person fo</w:t>
                  </w:r>
                  <w:r w:rsidRPr="00047526">
                    <w:rPr>
                      <w:highlight w:val="lightGray"/>
                      <w:u w:val="single"/>
                    </w:rPr>
                    <w:t>r an injury caused by the person's gross negligence.</w:t>
                  </w:r>
                </w:p>
              </w:tc>
              <w:tc>
                <w:tcPr>
                  <w:tcW w:w="4673" w:type="dxa"/>
                  <w:tcMar>
                    <w:left w:w="360" w:type="dxa"/>
                  </w:tcMar>
                </w:tcPr>
                <w:p w:rsidR="00041C5A" w:rsidRDefault="00C25397" w:rsidP="00285ACD">
                  <w:pPr>
                    <w:jc w:val="both"/>
                  </w:pPr>
                  <w:r>
                    <w:lastRenderedPageBreak/>
                    <w:t>SECTION 1.</w:t>
                  </w:r>
                  <w:r>
                    <w:t xml:space="preserve"> </w:t>
                  </w:r>
                  <w:r>
                    <w:t>Title 4, Civil Practice and Remedies Code, is amended by adding Chapter 95A to read as follows:</w:t>
                  </w:r>
                </w:p>
                <w:p w:rsidR="00041C5A" w:rsidRDefault="00C25397" w:rsidP="00285ACD">
                  <w:pPr>
                    <w:jc w:val="both"/>
                    <w:rPr>
                      <w:u w:val="single"/>
                    </w:rPr>
                  </w:pPr>
                  <w:r>
                    <w:rPr>
                      <w:u w:val="single"/>
                    </w:rPr>
                    <w:t>CHAPTER 95A. LIMITED LIABILITY FOR CERTAIN PERSONS WHO ALLOW HANDGUNS</w:t>
                  </w:r>
                </w:p>
                <w:p w:rsidR="004A38BA" w:rsidRDefault="00C25397" w:rsidP="00285ACD">
                  <w:pPr>
                    <w:jc w:val="both"/>
                  </w:pPr>
                </w:p>
                <w:p w:rsidR="00041C5A" w:rsidRDefault="00C25397" w:rsidP="00285ACD">
                  <w:pPr>
                    <w:jc w:val="both"/>
                    <w:rPr>
                      <w:u w:val="single"/>
                    </w:rPr>
                  </w:pPr>
                  <w:r>
                    <w:rPr>
                      <w:u w:val="single"/>
                    </w:rPr>
                    <w:t>Sec. 95A.001.</w:t>
                  </w:r>
                  <w:r>
                    <w:rPr>
                      <w:u w:val="single"/>
                    </w:rPr>
                    <w:t xml:space="preserve"> </w:t>
                  </w:r>
                  <w:r>
                    <w:rPr>
                      <w:u w:val="single"/>
                    </w:rPr>
                    <w:t>DEFINITION.</w:t>
                  </w:r>
                  <w:r>
                    <w:rPr>
                      <w:u w:val="single"/>
                    </w:rPr>
                    <w:t xml:space="preserve"> </w:t>
                  </w:r>
                </w:p>
                <w:p w:rsidR="004A38BA" w:rsidRDefault="00C25397" w:rsidP="00285ACD">
                  <w:pPr>
                    <w:jc w:val="both"/>
                  </w:pPr>
                </w:p>
                <w:p w:rsidR="00041C5A" w:rsidRDefault="00C25397" w:rsidP="00285ACD">
                  <w:pPr>
                    <w:jc w:val="both"/>
                  </w:pPr>
                  <w:r>
                    <w:rPr>
                      <w:u w:val="single"/>
                    </w:rPr>
                    <w:t>Sec. 95A.002.</w:t>
                  </w:r>
                  <w:r>
                    <w:rPr>
                      <w:u w:val="single"/>
                    </w:rPr>
                    <w:t xml:space="preserve"> </w:t>
                  </w:r>
                  <w:r>
                    <w:rPr>
                      <w:u w:val="single"/>
                    </w:rPr>
                    <w:t>LIMITED LIABILITY FOR CERTAIN PERSONS WHO ALLOW HANDGUNS.</w:t>
                  </w:r>
                  <w:r>
                    <w:rPr>
                      <w:u w:val="single"/>
                    </w:rPr>
                    <w:t xml:space="preserve"> </w:t>
                  </w:r>
                  <w:r w:rsidRPr="00047526">
                    <w:rPr>
                      <w:highlight w:val="lightGray"/>
                      <w:u w:val="single"/>
                    </w:rPr>
                    <w:t xml:space="preserve">There is no cause of action against an owner, lessee, or manager of property based on the owner's, lessee's, or manager's </w:t>
                  </w:r>
                  <w:r>
                    <w:rPr>
                      <w:highlight w:val="lightGray"/>
                      <w:u w:val="single"/>
                    </w:rPr>
                    <w:t>d</w:t>
                  </w:r>
                  <w:r w:rsidRPr="00047526">
                    <w:rPr>
                      <w:highlight w:val="lightGray"/>
                      <w:u w:val="single"/>
                    </w:rPr>
                    <w:t>ecision not</w:t>
                  </w:r>
                  <w:r>
                    <w:rPr>
                      <w:u w:val="single"/>
                    </w:rPr>
                    <w:t xml:space="preserve"> to exercise the option to forbid the carrying </w:t>
                  </w:r>
                  <w:r>
                    <w:rPr>
                      <w:u w:val="single"/>
                    </w:rPr>
                    <w:t>of handguns by a license holder on the property by providing notice under Sections 30.06 and 30.07, Penal Code.</w:t>
                  </w:r>
                </w:p>
                <w:p w:rsidR="00041C5A" w:rsidRDefault="00C25397" w:rsidP="00285ACD">
                  <w:pPr>
                    <w:jc w:val="both"/>
                  </w:pPr>
                </w:p>
              </w:tc>
            </w:tr>
            <w:tr w:rsidR="00D84633" w:rsidTr="00041C5A">
              <w:tc>
                <w:tcPr>
                  <w:tcW w:w="4673" w:type="dxa"/>
                  <w:tcMar>
                    <w:right w:w="360" w:type="dxa"/>
                  </w:tcMar>
                </w:tcPr>
                <w:p w:rsidR="00041C5A" w:rsidRDefault="00C25397" w:rsidP="00285ACD">
                  <w:pPr>
                    <w:jc w:val="both"/>
                  </w:pPr>
                  <w:r>
                    <w:lastRenderedPageBreak/>
                    <w:t>SECTION 2.</w:t>
                  </w:r>
                  <w:r>
                    <w:t xml:space="preserve"> </w:t>
                  </w:r>
                  <w:r>
                    <w:t xml:space="preserve">Chapter 95A, Civil Practice and Remedies Code, as added by this Act, does not apply to a cause of action that accrued before the </w:t>
                  </w:r>
                  <w:r>
                    <w:t>effective date of this Act. A cause of action that accrued before the effective date of this Act is governed by the law applicable to the cause of action immediately before that date, and the former law is continued in effect for that purpose.</w:t>
                  </w:r>
                </w:p>
              </w:tc>
              <w:tc>
                <w:tcPr>
                  <w:tcW w:w="4673" w:type="dxa"/>
                  <w:tcMar>
                    <w:left w:w="360" w:type="dxa"/>
                  </w:tcMar>
                </w:tcPr>
                <w:p w:rsidR="00041C5A" w:rsidRDefault="00C25397" w:rsidP="00285ACD">
                  <w:pPr>
                    <w:jc w:val="both"/>
                  </w:pPr>
                  <w:r>
                    <w:t>SECTION 2. S</w:t>
                  </w:r>
                  <w:r>
                    <w:t>ame as introduced version.</w:t>
                  </w:r>
                </w:p>
                <w:p w:rsidR="00041C5A" w:rsidRDefault="00C25397" w:rsidP="00285ACD">
                  <w:pPr>
                    <w:jc w:val="both"/>
                  </w:pPr>
                </w:p>
                <w:p w:rsidR="00041C5A" w:rsidRDefault="00C25397" w:rsidP="00285ACD">
                  <w:pPr>
                    <w:jc w:val="both"/>
                  </w:pPr>
                </w:p>
              </w:tc>
            </w:tr>
            <w:tr w:rsidR="00D84633" w:rsidTr="00041C5A">
              <w:tc>
                <w:tcPr>
                  <w:tcW w:w="4673" w:type="dxa"/>
                  <w:tcMar>
                    <w:right w:w="360" w:type="dxa"/>
                  </w:tcMar>
                </w:tcPr>
                <w:p w:rsidR="00041C5A" w:rsidRDefault="00C25397" w:rsidP="00285ACD">
                  <w:pPr>
                    <w:jc w:val="both"/>
                  </w:pPr>
                  <w:r>
                    <w:t>SECTION 3.</w:t>
                  </w:r>
                  <w:r>
                    <w:t xml:space="preserve"> </w:t>
                  </w:r>
                  <w:r>
                    <w:t>This Act takes effect September 1, 2017.</w:t>
                  </w:r>
                </w:p>
              </w:tc>
              <w:tc>
                <w:tcPr>
                  <w:tcW w:w="4673" w:type="dxa"/>
                  <w:tcMar>
                    <w:left w:w="360" w:type="dxa"/>
                  </w:tcMar>
                </w:tcPr>
                <w:p w:rsidR="00041C5A" w:rsidRDefault="00C25397" w:rsidP="00285ACD">
                  <w:pPr>
                    <w:jc w:val="both"/>
                  </w:pPr>
                  <w:r>
                    <w:t>SECTION 3. Same as introduced version.</w:t>
                  </w:r>
                </w:p>
                <w:p w:rsidR="00041C5A" w:rsidRDefault="00C25397" w:rsidP="00285ACD">
                  <w:pPr>
                    <w:jc w:val="both"/>
                  </w:pPr>
                </w:p>
              </w:tc>
            </w:tr>
          </w:tbl>
          <w:p w:rsidR="00041C5A" w:rsidRDefault="00C25397" w:rsidP="00285ACD"/>
          <w:p w:rsidR="00041C5A" w:rsidRPr="009C1E9A" w:rsidRDefault="00C25397" w:rsidP="00285ACD">
            <w:pPr>
              <w:rPr>
                <w:b/>
                <w:u w:val="single"/>
              </w:rPr>
            </w:pPr>
          </w:p>
        </w:tc>
      </w:tr>
    </w:tbl>
    <w:p w:rsidR="004108C3" w:rsidRPr="008423E4" w:rsidRDefault="00C2539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5397">
      <w:r>
        <w:separator/>
      </w:r>
    </w:p>
  </w:endnote>
  <w:endnote w:type="continuationSeparator" w:id="0">
    <w:p w:rsidR="00000000" w:rsidRDefault="00C2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84633" w:rsidTr="009C1E9A">
      <w:trPr>
        <w:cantSplit/>
      </w:trPr>
      <w:tc>
        <w:tcPr>
          <w:tcW w:w="0" w:type="pct"/>
        </w:tcPr>
        <w:p w:rsidR="00137D90" w:rsidRDefault="00C25397" w:rsidP="009C1E9A">
          <w:pPr>
            <w:pStyle w:val="Footer"/>
            <w:tabs>
              <w:tab w:val="clear" w:pos="8640"/>
              <w:tab w:val="right" w:pos="9360"/>
            </w:tabs>
          </w:pPr>
        </w:p>
      </w:tc>
      <w:tc>
        <w:tcPr>
          <w:tcW w:w="2395" w:type="pct"/>
        </w:tcPr>
        <w:p w:rsidR="00137D90" w:rsidRDefault="00C25397" w:rsidP="009C1E9A">
          <w:pPr>
            <w:pStyle w:val="Footer"/>
            <w:tabs>
              <w:tab w:val="clear" w:pos="8640"/>
              <w:tab w:val="right" w:pos="9360"/>
            </w:tabs>
          </w:pPr>
        </w:p>
        <w:p w:rsidR="001A4310" w:rsidRDefault="00C25397" w:rsidP="009C1E9A">
          <w:pPr>
            <w:pStyle w:val="Footer"/>
            <w:tabs>
              <w:tab w:val="clear" w:pos="8640"/>
              <w:tab w:val="right" w:pos="9360"/>
            </w:tabs>
          </w:pPr>
        </w:p>
        <w:p w:rsidR="00137D90" w:rsidRDefault="00C25397" w:rsidP="009C1E9A">
          <w:pPr>
            <w:pStyle w:val="Footer"/>
            <w:tabs>
              <w:tab w:val="clear" w:pos="8640"/>
              <w:tab w:val="right" w:pos="9360"/>
            </w:tabs>
          </w:pPr>
        </w:p>
      </w:tc>
      <w:tc>
        <w:tcPr>
          <w:tcW w:w="2453" w:type="pct"/>
        </w:tcPr>
        <w:p w:rsidR="00137D90" w:rsidRDefault="00C25397" w:rsidP="009C1E9A">
          <w:pPr>
            <w:pStyle w:val="Footer"/>
            <w:tabs>
              <w:tab w:val="clear" w:pos="8640"/>
              <w:tab w:val="right" w:pos="9360"/>
            </w:tabs>
            <w:jc w:val="right"/>
          </w:pPr>
        </w:p>
      </w:tc>
    </w:tr>
    <w:tr w:rsidR="00D84633" w:rsidTr="009C1E9A">
      <w:trPr>
        <w:cantSplit/>
      </w:trPr>
      <w:tc>
        <w:tcPr>
          <w:tcW w:w="0" w:type="pct"/>
        </w:tcPr>
        <w:p w:rsidR="00EC379B" w:rsidRDefault="00C25397" w:rsidP="009C1E9A">
          <w:pPr>
            <w:pStyle w:val="Footer"/>
            <w:tabs>
              <w:tab w:val="clear" w:pos="8640"/>
              <w:tab w:val="right" w:pos="9360"/>
            </w:tabs>
          </w:pPr>
        </w:p>
      </w:tc>
      <w:tc>
        <w:tcPr>
          <w:tcW w:w="2395" w:type="pct"/>
        </w:tcPr>
        <w:p w:rsidR="00EC379B" w:rsidRPr="009C1E9A" w:rsidRDefault="00C25397" w:rsidP="009C1E9A">
          <w:pPr>
            <w:pStyle w:val="Footer"/>
            <w:tabs>
              <w:tab w:val="clear" w:pos="8640"/>
              <w:tab w:val="right" w:pos="9360"/>
            </w:tabs>
            <w:rPr>
              <w:rFonts w:ascii="Shruti" w:hAnsi="Shruti"/>
              <w:sz w:val="22"/>
            </w:rPr>
          </w:pPr>
          <w:r>
            <w:rPr>
              <w:rFonts w:ascii="Shruti" w:hAnsi="Shruti"/>
              <w:sz w:val="22"/>
            </w:rPr>
            <w:t>85R 27188</w:t>
          </w:r>
        </w:p>
      </w:tc>
      <w:tc>
        <w:tcPr>
          <w:tcW w:w="2453" w:type="pct"/>
        </w:tcPr>
        <w:p w:rsidR="00EC379B" w:rsidRDefault="00C25397" w:rsidP="009C1E9A">
          <w:pPr>
            <w:pStyle w:val="Footer"/>
            <w:tabs>
              <w:tab w:val="clear" w:pos="8640"/>
              <w:tab w:val="right" w:pos="9360"/>
            </w:tabs>
            <w:jc w:val="right"/>
          </w:pPr>
          <w:r>
            <w:fldChar w:fldCharType="begin"/>
          </w:r>
          <w:r>
            <w:instrText xml:space="preserve"> DOCPROPERTY  OTID  \* MERGEFORMAT </w:instrText>
          </w:r>
          <w:r>
            <w:fldChar w:fldCharType="separate"/>
          </w:r>
          <w:r>
            <w:t>17.118.887</w:t>
          </w:r>
          <w:r>
            <w:fldChar w:fldCharType="end"/>
          </w:r>
        </w:p>
      </w:tc>
    </w:tr>
    <w:tr w:rsidR="00D84633" w:rsidTr="009C1E9A">
      <w:trPr>
        <w:cantSplit/>
      </w:trPr>
      <w:tc>
        <w:tcPr>
          <w:tcW w:w="0" w:type="pct"/>
        </w:tcPr>
        <w:p w:rsidR="00EC379B" w:rsidRDefault="00C25397" w:rsidP="009C1E9A">
          <w:pPr>
            <w:pStyle w:val="Footer"/>
            <w:tabs>
              <w:tab w:val="clear" w:pos="4320"/>
              <w:tab w:val="clear" w:pos="8640"/>
              <w:tab w:val="left" w:pos="2865"/>
            </w:tabs>
          </w:pPr>
        </w:p>
      </w:tc>
      <w:tc>
        <w:tcPr>
          <w:tcW w:w="2395" w:type="pct"/>
        </w:tcPr>
        <w:p w:rsidR="00EC379B" w:rsidRPr="009C1E9A" w:rsidRDefault="00C25397" w:rsidP="009C1E9A">
          <w:pPr>
            <w:pStyle w:val="Footer"/>
            <w:tabs>
              <w:tab w:val="clear" w:pos="4320"/>
              <w:tab w:val="clear" w:pos="8640"/>
              <w:tab w:val="left" w:pos="2865"/>
            </w:tabs>
            <w:rPr>
              <w:rFonts w:ascii="Shruti" w:hAnsi="Shruti"/>
              <w:sz w:val="22"/>
            </w:rPr>
          </w:pPr>
          <w:r>
            <w:rPr>
              <w:rFonts w:ascii="Shruti" w:hAnsi="Shruti"/>
              <w:sz w:val="22"/>
            </w:rPr>
            <w:t>Substitute Document Number: 85R 21909</w:t>
          </w:r>
        </w:p>
      </w:tc>
      <w:tc>
        <w:tcPr>
          <w:tcW w:w="2453" w:type="pct"/>
        </w:tcPr>
        <w:p w:rsidR="00EC379B" w:rsidRDefault="00C25397" w:rsidP="006D504F">
          <w:pPr>
            <w:pStyle w:val="Footer"/>
            <w:rPr>
              <w:rStyle w:val="PageNumber"/>
            </w:rPr>
          </w:pPr>
        </w:p>
        <w:p w:rsidR="00EC379B" w:rsidRDefault="00C25397" w:rsidP="009C1E9A">
          <w:pPr>
            <w:pStyle w:val="Footer"/>
            <w:tabs>
              <w:tab w:val="clear" w:pos="8640"/>
              <w:tab w:val="right" w:pos="9360"/>
            </w:tabs>
            <w:jc w:val="right"/>
          </w:pPr>
        </w:p>
      </w:tc>
    </w:tr>
    <w:tr w:rsidR="00D84633" w:rsidTr="009C1E9A">
      <w:trPr>
        <w:cantSplit/>
        <w:trHeight w:val="323"/>
      </w:trPr>
      <w:tc>
        <w:tcPr>
          <w:tcW w:w="0" w:type="pct"/>
          <w:gridSpan w:val="3"/>
        </w:tcPr>
        <w:p w:rsidR="00EC379B" w:rsidRDefault="00C253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25397" w:rsidP="009C1E9A">
          <w:pPr>
            <w:pStyle w:val="Footer"/>
            <w:tabs>
              <w:tab w:val="clear" w:pos="8640"/>
              <w:tab w:val="right" w:pos="9360"/>
            </w:tabs>
            <w:jc w:val="center"/>
          </w:pPr>
        </w:p>
      </w:tc>
    </w:tr>
  </w:tbl>
  <w:p w:rsidR="00EC379B" w:rsidRPr="00FF6F72" w:rsidRDefault="00C2539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5397">
      <w:r>
        <w:separator/>
      </w:r>
    </w:p>
  </w:footnote>
  <w:footnote w:type="continuationSeparator" w:id="0">
    <w:p w:rsidR="00000000" w:rsidRDefault="00C2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33"/>
    <w:rsid w:val="00C25397"/>
    <w:rsid w:val="00D8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6780"/>
    <w:rPr>
      <w:sz w:val="16"/>
      <w:szCs w:val="16"/>
    </w:rPr>
  </w:style>
  <w:style w:type="paragraph" w:styleId="CommentText">
    <w:name w:val="annotation text"/>
    <w:basedOn w:val="Normal"/>
    <w:link w:val="CommentTextChar"/>
    <w:rsid w:val="00C36780"/>
    <w:rPr>
      <w:sz w:val="20"/>
      <w:szCs w:val="20"/>
    </w:rPr>
  </w:style>
  <w:style w:type="character" w:customStyle="1" w:styleId="CommentTextChar">
    <w:name w:val="Comment Text Char"/>
    <w:basedOn w:val="DefaultParagraphFont"/>
    <w:link w:val="CommentText"/>
    <w:rsid w:val="00C36780"/>
  </w:style>
  <w:style w:type="paragraph" w:styleId="CommentSubject">
    <w:name w:val="annotation subject"/>
    <w:basedOn w:val="CommentText"/>
    <w:next w:val="CommentText"/>
    <w:link w:val="CommentSubjectChar"/>
    <w:rsid w:val="00C36780"/>
    <w:rPr>
      <w:b/>
      <w:bCs/>
    </w:rPr>
  </w:style>
  <w:style w:type="character" w:customStyle="1" w:styleId="CommentSubjectChar">
    <w:name w:val="Comment Subject Char"/>
    <w:basedOn w:val="CommentTextChar"/>
    <w:link w:val="CommentSubject"/>
    <w:rsid w:val="00C36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6780"/>
    <w:rPr>
      <w:sz w:val="16"/>
      <w:szCs w:val="16"/>
    </w:rPr>
  </w:style>
  <w:style w:type="paragraph" w:styleId="CommentText">
    <w:name w:val="annotation text"/>
    <w:basedOn w:val="Normal"/>
    <w:link w:val="CommentTextChar"/>
    <w:rsid w:val="00C36780"/>
    <w:rPr>
      <w:sz w:val="20"/>
      <w:szCs w:val="20"/>
    </w:rPr>
  </w:style>
  <w:style w:type="character" w:customStyle="1" w:styleId="CommentTextChar">
    <w:name w:val="Comment Text Char"/>
    <w:basedOn w:val="DefaultParagraphFont"/>
    <w:link w:val="CommentText"/>
    <w:rsid w:val="00C36780"/>
  </w:style>
  <w:style w:type="paragraph" w:styleId="CommentSubject">
    <w:name w:val="annotation subject"/>
    <w:basedOn w:val="CommentText"/>
    <w:next w:val="CommentText"/>
    <w:link w:val="CommentSubjectChar"/>
    <w:rsid w:val="00C36780"/>
    <w:rPr>
      <w:b/>
      <w:bCs/>
    </w:rPr>
  </w:style>
  <w:style w:type="character" w:customStyle="1" w:styleId="CommentSubjectChar">
    <w:name w:val="Comment Subject Char"/>
    <w:basedOn w:val="CommentTextChar"/>
    <w:link w:val="CommentSubject"/>
    <w:rsid w:val="00C36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3055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BA - HB00606 (Committee Report (Substituted))</vt:lpstr>
    </vt:vector>
  </TitlesOfParts>
  <Company>State of Texas</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27188</dc:subject>
  <dc:creator>State of Texas</dc:creator>
  <dc:description>HB 606 by Springer-(H)Judiciary &amp; Civil Jurisprudence (Substitute Document Number: 85R 21909)</dc:description>
  <cp:lastModifiedBy>Brianna Weis</cp:lastModifiedBy>
  <cp:revision>2</cp:revision>
  <cp:lastPrinted>2017-04-29T00:52:00Z</cp:lastPrinted>
  <dcterms:created xsi:type="dcterms:W3CDTF">2017-05-02T00:35:00Z</dcterms:created>
  <dcterms:modified xsi:type="dcterms:W3CDTF">2017-05-02T00:35:00Z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17.118.887</vt:lpwstr>
  </property>
</Properties>
</file>