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7864" w:rsidTr="00345119">
        <w:tc>
          <w:tcPr>
            <w:tcW w:w="9576" w:type="dxa"/>
            <w:noWrap/>
          </w:tcPr>
          <w:p w:rsidR="008423E4" w:rsidRPr="0022177D" w:rsidRDefault="006D6B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6BE5" w:rsidP="008423E4">
      <w:pPr>
        <w:jc w:val="center"/>
      </w:pPr>
    </w:p>
    <w:p w:rsidR="008423E4" w:rsidRPr="00B31F0E" w:rsidRDefault="006D6BE5" w:rsidP="008423E4"/>
    <w:p w:rsidR="008423E4" w:rsidRPr="00742794" w:rsidRDefault="006D6B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7864" w:rsidTr="00345119">
        <w:tc>
          <w:tcPr>
            <w:tcW w:w="9576" w:type="dxa"/>
          </w:tcPr>
          <w:p w:rsidR="008423E4" w:rsidRPr="00861995" w:rsidRDefault="006D6BE5" w:rsidP="00345119">
            <w:pPr>
              <w:jc w:val="right"/>
            </w:pPr>
            <w:r>
              <w:t>C.S.H.B. 833</w:t>
            </w:r>
          </w:p>
        </w:tc>
      </w:tr>
      <w:tr w:rsidR="001D7864" w:rsidTr="00345119">
        <w:tc>
          <w:tcPr>
            <w:tcW w:w="9576" w:type="dxa"/>
          </w:tcPr>
          <w:p w:rsidR="008423E4" w:rsidRPr="00861995" w:rsidRDefault="006D6BE5" w:rsidP="00E755E0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1D7864" w:rsidTr="00345119">
        <w:tc>
          <w:tcPr>
            <w:tcW w:w="9576" w:type="dxa"/>
          </w:tcPr>
          <w:p w:rsidR="008423E4" w:rsidRPr="00861995" w:rsidRDefault="006D6BE5" w:rsidP="00345119">
            <w:pPr>
              <w:jc w:val="right"/>
            </w:pPr>
            <w:r>
              <w:t>Criminal Jurisprudence</w:t>
            </w:r>
          </w:p>
        </w:tc>
      </w:tr>
      <w:tr w:rsidR="001D7864" w:rsidTr="00345119">
        <w:tc>
          <w:tcPr>
            <w:tcW w:w="9576" w:type="dxa"/>
          </w:tcPr>
          <w:p w:rsidR="008423E4" w:rsidRDefault="006D6BE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D6BE5" w:rsidP="008423E4">
      <w:pPr>
        <w:tabs>
          <w:tab w:val="right" w:pos="9360"/>
        </w:tabs>
      </w:pPr>
    </w:p>
    <w:p w:rsidR="008423E4" w:rsidRDefault="006D6BE5" w:rsidP="008423E4"/>
    <w:p w:rsidR="008423E4" w:rsidRDefault="006D6B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D7864" w:rsidTr="00E755E0">
        <w:tc>
          <w:tcPr>
            <w:tcW w:w="9582" w:type="dxa"/>
          </w:tcPr>
          <w:p w:rsidR="008423E4" w:rsidRPr="00A8133F" w:rsidRDefault="006D6BE5" w:rsidP="00E768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6BE5" w:rsidP="00E7684F"/>
          <w:p w:rsidR="008423E4" w:rsidRDefault="006D6BE5" w:rsidP="00E7684F">
            <w:pPr>
              <w:pStyle w:val="Header"/>
              <w:jc w:val="both"/>
            </w:pPr>
            <w:r>
              <w:t xml:space="preserve">Interested parties contend that the requirement </w:t>
            </w:r>
            <w:r>
              <w:t>for</w:t>
            </w:r>
            <w:r>
              <w:t xml:space="preserve"> certain defendants to</w:t>
            </w:r>
            <w:r>
              <w:t xml:space="preserve"> physically</w:t>
            </w:r>
            <w:r>
              <w:t xml:space="preserve"> attend a driving while intoxicated education class as a condition of community supervision </w:t>
            </w:r>
            <w:r>
              <w:t xml:space="preserve">creates an undue hardship </w:t>
            </w:r>
            <w:r>
              <w:t>with regard to</w:t>
            </w:r>
            <w:r>
              <w:t xml:space="preserve"> arranging transportation to and from the class. </w:t>
            </w:r>
            <w:r>
              <w:t>C.S.</w:t>
            </w:r>
            <w:r>
              <w:t xml:space="preserve">H.B. 833 seeks to </w:t>
            </w:r>
            <w:r>
              <w:t>mitigate any such hardship</w:t>
            </w:r>
            <w:r>
              <w:t xml:space="preserve"> by authorizing a </w:t>
            </w:r>
            <w:r>
              <w:t xml:space="preserve">court to </w:t>
            </w:r>
            <w:r>
              <w:t xml:space="preserve">permit defendants to successfully complete </w:t>
            </w:r>
            <w:r>
              <w:t>the required educational program</w:t>
            </w:r>
            <w:r>
              <w:t xml:space="preserve"> through </w:t>
            </w:r>
            <w:r>
              <w:t xml:space="preserve">approved </w:t>
            </w:r>
            <w:r>
              <w:t>online providers.</w:t>
            </w:r>
          </w:p>
          <w:p w:rsidR="008423E4" w:rsidRPr="00E26B13" w:rsidRDefault="006D6BE5" w:rsidP="00E7684F">
            <w:pPr>
              <w:rPr>
                <w:b/>
              </w:rPr>
            </w:pPr>
          </w:p>
        </w:tc>
      </w:tr>
      <w:tr w:rsidR="001D7864" w:rsidTr="00E755E0">
        <w:tc>
          <w:tcPr>
            <w:tcW w:w="9582" w:type="dxa"/>
          </w:tcPr>
          <w:p w:rsidR="0017725B" w:rsidRDefault="006D6BE5" w:rsidP="00E768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6BE5" w:rsidP="00E7684F">
            <w:pPr>
              <w:rPr>
                <w:b/>
                <w:u w:val="single"/>
              </w:rPr>
            </w:pPr>
          </w:p>
          <w:p w:rsidR="00531C66" w:rsidRPr="00531C66" w:rsidRDefault="006D6BE5" w:rsidP="00E7684F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:rsidR="0017725B" w:rsidRPr="0017725B" w:rsidRDefault="006D6BE5" w:rsidP="00E7684F">
            <w:pPr>
              <w:rPr>
                <w:b/>
                <w:u w:val="single"/>
              </w:rPr>
            </w:pPr>
          </w:p>
        </w:tc>
      </w:tr>
      <w:tr w:rsidR="001D7864" w:rsidTr="00E755E0">
        <w:tc>
          <w:tcPr>
            <w:tcW w:w="9582" w:type="dxa"/>
          </w:tcPr>
          <w:p w:rsidR="008423E4" w:rsidRPr="00A8133F" w:rsidRDefault="006D6BE5" w:rsidP="00E768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6BE5" w:rsidP="00E7684F"/>
          <w:p w:rsidR="00531C66" w:rsidRDefault="006D6BE5" w:rsidP="00E76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6D6BE5" w:rsidP="00E7684F">
            <w:pPr>
              <w:rPr>
                <w:b/>
              </w:rPr>
            </w:pPr>
          </w:p>
        </w:tc>
      </w:tr>
      <w:tr w:rsidR="001D7864" w:rsidTr="00E755E0">
        <w:tc>
          <w:tcPr>
            <w:tcW w:w="9582" w:type="dxa"/>
          </w:tcPr>
          <w:p w:rsidR="008423E4" w:rsidRPr="00A8133F" w:rsidRDefault="006D6BE5" w:rsidP="00E768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6BE5" w:rsidP="00E7684F"/>
          <w:p w:rsidR="00442987" w:rsidRDefault="006D6BE5" w:rsidP="00E76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833 amends the Code of Criminal Procedure to authorize an approved educational program</w:t>
            </w:r>
            <w:r>
              <w:t xml:space="preserve"> required to be completed as a condition of community superv</w:t>
            </w:r>
            <w:r>
              <w:t>ision by a defendant convicted of certain intoxication offenses</w:t>
            </w:r>
            <w:r>
              <w:t xml:space="preserve"> to be provided </w:t>
            </w:r>
            <w:r w:rsidRPr="00531C66">
              <w:t xml:space="preserve">through classroom instruction or </w:t>
            </w:r>
            <w:r>
              <w:t>through</w:t>
            </w:r>
            <w:r w:rsidRPr="00531C66">
              <w:t xml:space="preserve"> </w:t>
            </w:r>
            <w:r w:rsidRPr="00531C66">
              <w:t xml:space="preserve">an online format </w:t>
            </w:r>
            <w:r>
              <w:t xml:space="preserve">approved by </w:t>
            </w:r>
            <w:r>
              <w:t>the Texas Department of Licensing and Regulation (TDLR) for administration</w:t>
            </w:r>
            <w:r w:rsidRPr="00531C66">
              <w:t xml:space="preserve"> </w:t>
            </w:r>
            <w:r w:rsidRPr="00531C66">
              <w:t>over the Internet</w:t>
            </w:r>
            <w:r>
              <w:t>.</w:t>
            </w:r>
            <w:r>
              <w:t xml:space="preserve"> </w:t>
            </w:r>
            <w:r>
              <w:t>The bill repl</w:t>
            </w:r>
            <w:r>
              <w:t>aces the Department of State Healt</w:t>
            </w:r>
            <w:r>
              <w:t>h Services with TDLR</w:t>
            </w:r>
            <w:r>
              <w:t xml:space="preserve"> as</w:t>
            </w:r>
            <w:r>
              <w:t xml:space="preserve"> </w:t>
            </w:r>
            <w:r>
              <w:t>one of the</w:t>
            </w:r>
            <w:r>
              <w:t xml:space="preserve"> entit</w:t>
            </w:r>
            <w:r>
              <w:t>ies</w:t>
            </w:r>
            <w:r>
              <w:t xml:space="preserve"> that jointly approves the educational program. </w:t>
            </w:r>
            <w:r>
              <w:t xml:space="preserve">The bill </w:t>
            </w:r>
            <w:r>
              <w:t>conditions</w:t>
            </w:r>
            <w:r>
              <w:t xml:space="preserve"> </w:t>
            </w:r>
            <w:r>
              <w:t xml:space="preserve">the authorization for </w:t>
            </w:r>
            <w:r>
              <w:t xml:space="preserve">a judge, in determining good cause for </w:t>
            </w:r>
            <w:r>
              <w:t>waiving or extending</w:t>
            </w:r>
            <w:r>
              <w:t xml:space="preserve"> </w:t>
            </w:r>
            <w:r>
              <w:t xml:space="preserve">the </w:t>
            </w:r>
            <w:r>
              <w:t xml:space="preserve">time for the </w:t>
            </w:r>
            <w:r>
              <w:t xml:space="preserve">program </w:t>
            </w:r>
            <w:r>
              <w:t>comp</w:t>
            </w:r>
            <w:r>
              <w:t xml:space="preserve">letion </w:t>
            </w:r>
            <w:r>
              <w:t xml:space="preserve">requirement, </w:t>
            </w:r>
            <w:r>
              <w:t>to</w:t>
            </w:r>
            <w:r>
              <w:t xml:space="preserve"> consider certain factors related to the</w:t>
            </w:r>
            <w:r>
              <w:t xml:space="preserve"> defendant's</w:t>
            </w:r>
            <w:r>
              <w:t xml:space="preserve"> commute to attend such a</w:t>
            </w:r>
            <w:r>
              <w:t xml:space="preserve"> classroom</w:t>
            </w:r>
            <w:r>
              <w:t xml:space="preserve"> program </w:t>
            </w:r>
            <w:r>
              <w:t xml:space="preserve">on </w:t>
            </w:r>
            <w:r>
              <w:t>the</w:t>
            </w:r>
            <w:r>
              <w:t xml:space="preserve"> program </w:t>
            </w:r>
            <w:r>
              <w:t>being</w:t>
            </w:r>
            <w:r>
              <w:t xml:space="preserve"> </w:t>
            </w:r>
            <w:r>
              <w:t>un</w:t>
            </w:r>
            <w:r>
              <w:t xml:space="preserve">available to the defendant in an online format administered over the Internet. The </w:t>
            </w:r>
            <w:r>
              <w:t>bill</w:t>
            </w:r>
            <w:r>
              <w:t>'s provisions</w:t>
            </w:r>
            <w:r>
              <w:t xml:space="preserve"> appl</w:t>
            </w:r>
            <w:r>
              <w:t>y</w:t>
            </w:r>
            <w:r>
              <w:t xml:space="preserve"> to a </w:t>
            </w:r>
            <w:r>
              <w:t xml:space="preserve">person who is placed on community supervision on or </w:t>
            </w:r>
            <w:r>
              <w:t>after the bill's effective date</w:t>
            </w:r>
            <w:r>
              <w:t xml:space="preserve"> regardless of whether the underlying conduct giving rise to the placement on community supervision occurred before, on, or after </w:t>
            </w:r>
            <w:r>
              <w:t>th</w:t>
            </w:r>
            <w:r>
              <w:t>at</w:t>
            </w:r>
            <w:r>
              <w:t xml:space="preserve"> date</w:t>
            </w:r>
            <w:r>
              <w:t>.</w:t>
            </w:r>
          </w:p>
          <w:p w:rsidR="009076BA" w:rsidRDefault="006D6BE5" w:rsidP="00E76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30EA" w:rsidRDefault="006D6BE5" w:rsidP="00E76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833 amends the Transpo</w:t>
            </w:r>
            <w:r>
              <w:t>rtation Code to make conforming changes.</w:t>
            </w:r>
          </w:p>
          <w:p w:rsidR="008423E4" w:rsidRPr="00835628" w:rsidRDefault="006D6BE5" w:rsidP="00E7684F">
            <w:pPr>
              <w:rPr>
                <w:b/>
              </w:rPr>
            </w:pPr>
          </w:p>
        </w:tc>
      </w:tr>
      <w:tr w:rsidR="001D7864" w:rsidTr="00E755E0">
        <w:tc>
          <w:tcPr>
            <w:tcW w:w="9582" w:type="dxa"/>
          </w:tcPr>
          <w:p w:rsidR="008423E4" w:rsidRPr="00A8133F" w:rsidRDefault="006D6BE5" w:rsidP="00E768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6BE5" w:rsidP="00E7684F"/>
          <w:p w:rsidR="008423E4" w:rsidRDefault="006D6BE5" w:rsidP="00E76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423DEB" w:rsidRPr="00032D3B" w:rsidRDefault="006D6BE5" w:rsidP="00E768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1D7864" w:rsidTr="00E755E0">
        <w:tc>
          <w:tcPr>
            <w:tcW w:w="9582" w:type="dxa"/>
          </w:tcPr>
          <w:p w:rsidR="00E755E0" w:rsidRDefault="006D6BE5" w:rsidP="00E7684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12B65" w:rsidRDefault="006D6BE5" w:rsidP="00E7684F">
            <w:pPr>
              <w:jc w:val="both"/>
            </w:pPr>
          </w:p>
          <w:p w:rsidR="00212B65" w:rsidRDefault="006D6BE5" w:rsidP="00E7684F">
            <w:pPr>
              <w:jc w:val="both"/>
            </w:pPr>
            <w:r>
              <w:t xml:space="preserve">While C.S.H.B. </w:t>
            </w:r>
            <w:r>
              <w:t>833</w:t>
            </w:r>
            <w:r>
              <w:t xml:space="preserve"> may differ from the original in minor or nonsubstantive ways, the following comparison is organized and formatted in </w:t>
            </w:r>
            <w:r>
              <w:t xml:space="preserve">a manner that indicates the substantial differences </w:t>
            </w:r>
            <w:r>
              <w:lastRenderedPageBreak/>
              <w:t>between the introduced and committee substitute versions of the bill.</w:t>
            </w:r>
          </w:p>
          <w:p w:rsidR="00212B65" w:rsidRPr="00212B65" w:rsidRDefault="006D6BE5" w:rsidP="00E7684F">
            <w:pPr>
              <w:jc w:val="both"/>
            </w:pPr>
          </w:p>
        </w:tc>
      </w:tr>
      <w:tr w:rsidR="001D7864" w:rsidTr="00E755E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11"/>
              <w:gridCol w:w="4635"/>
            </w:tblGrid>
            <w:tr w:rsidR="001D7864" w:rsidTr="00E755E0">
              <w:trPr>
                <w:cantSplit/>
                <w:tblHeader/>
              </w:trPr>
              <w:tc>
                <w:tcPr>
                  <w:tcW w:w="4711" w:type="dxa"/>
                  <w:tcMar>
                    <w:bottom w:w="188" w:type="dxa"/>
                  </w:tcMar>
                </w:tcPr>
                <w:p w:rsidR="00E755E0" w:rsidRDefault="006D6BE5" w:rsidP="00E7684F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35" w:type="dxa"/>
                  <w:tcMar>
                    <w:bottom w:w="188" w:type="dxa"/>
                  </w:tcMar>
                </w:tcPr>
                <w:p w:rsidR="00E755E0" w:rsidRDefault="006D6BE5" w:rsidP="00E7684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D7864" w:rsidTr="00E755E0">
              <w:tc>
                <w:tcPr>
                  <w:tcW w:w="4711" w:type="dxa"/>
                  <w:tcMar>
                    <w:righ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 xml:space="preserve">SECTION 1.  Article 42A.403, Code of Criminal Procedure, is amended by amending Subsections </w:t>
                  </w:r>
                  <w:r>
                    <w:t>(a) and (d) and adding Subsection (a-1) to read as follows: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(a)  A judge who places on community supervision a defendant convicted of an offense under Sections 49.04-49.08, Penal Code, shall require as a condition of community supervision that the defendan</w:t>
                  </w:r>
                  <w:r>
                    <w:t>t [</w:t>
                  </w:r>
                  <w:r>
                    <w:rPr>
                      <w:strike/>
                    </w:rPr>
                    <w:t>attend and</w:t>
                  </w:r>
                  <w:r>
                    <w:t>] successfully complete, before the 181st day after the date community supervision is granted, an educational program designed to rehabilitate persons who have driven while intoxicated that is jointly approved by:</w:t>
                  </w:r>
                </w:p>
                <w:p w:rsidR="00E755E0" w:rsidRDefault="006D6BE5" w:rsidP="00E7684F">
                  <w:pPr>
                    <w:jc w:val="both"/>
                  </w:pPr>
                  <w:r w:rsidRPr="00DA21A8">
                    <w:t xml:space="preserve">(1)  the </w:t>
                  </w:r>
                  <w:r w:rsidRPr="00CD5220">
                    <w:rPr>
                      <w:highlight w:val="lightGray"/>
                    </w:rPr>
                    <w:t xml:space="preserve">Department of State </w:t>
                  </w:r>
                  <w:r w:rsidRPr="00CD5220">
                    <w:rPr>
                      <w:highlight w:val="lightGray"/>
                    </w:rPr>
                    <w:t>Health Services</w:t>
                  </w:r>
                  <w:r>
                    <w:t>;</w:t>
                  </w: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E755E0" w:rsidRDefault="006D6BE5" w:rsidP="00E7684F">
                  <w:pPr>
                    <w:jc w:val="both"/>
                  </w:pPr>
                  <w:r>
                    <w:t>(2)  the Department of Public Safety;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(3)  the traffic safety section of the traffic operations division of the Texas Department of Transportation; and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(4)  the community justice assistance division of the Texas Department of Criminal Ju</w:t>
                  </w:r>
                  <w:r>
                    <w:t>stice.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rPr>
                      <w:u w:val="single"/>
                    </w:rPr>
                    <w:t xml:space="preserve">(a-1)  The educational program approved under Subsection (a) may be provided through classroom instruction or </w:t>
                  </w:r>
                  <w:r w:rsidRPr="00CD5220">
                    <w:rPr>
                      <w:highlight w:val="lightGray"/>
                      <w:u w:val="single"/>
                    </w:rPr>
                    <w:t>in</w:t>
                  </w:r>
                  <w:r>
                    <w:rPr>
                      <w:u w:val="single"/>
                    </w:rPr>
                    <w:t xml:space="preserve"> an online format </w:t>
                  </w:r>
                  <w:r w:rsidRPr="00CD5220">
                    <w:rPr>
                      <w:highlight w:val="lightGray"/>
                      <w:u w:val="single"/>
                    </w:rPr>
                    <w:t>administered</w:t>
                  </w:r>
                  <w:r>
                    <w:rPr>
                      <w:u w:val="single"/>
                    </w:rPr>
                    <w:t xml:space="preserve"> over the Internet.</w:t>
                  </w: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E755E0" w:rsidRDefault="006D6BE5" w:rsidP="00E7684F">
                  <w:pPr>
                    <w:jc w:val="both"/>
                  </w:pPr>
                  <w:r>
                    <w:t>(d)  In determining good cause, the judge may consider but is not limited to: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 xml:space="preserve">(1)  </w:t>
                  </w:r>
                  <w:r>
                    <w:t>the defendant's school and work schedule;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 xml:space="preserve">(2)  the defendant's health; </w:t>
                  </w:r>
                  <w:r>
                    <w:rPr>
                      <w:u w:val="single"/>
                    </w:rPr>
                    <w:t>and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 xml:space="preserve">(3)  </w:t>
                  </w:r>
                  <w:r>
                    <w:rPr>
                      <w:u w:val="single"/>
                    </w:rPr>
                    <w:t>if an educational program is not available to the defendant in an online format administered over the Internet: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 the distance that the defendant must travel to attend an ed</w:t>
                  </w:r>
                  <w:r>
                    <w:t xml:space="preserve">ucational program </w:t>
                  </w:r>
                  <w:r>
                    <w:rPr>
                      <w:u w:val="single"/>
                    </w:rPr>
                    <w:t>provided through classroom instruction</w:t>
                  </w:r>
                  <w:r>
                    <w:t>; and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[</w:t>
                  </w:r>
                  <w:r>
                    <w:rPr>
                      <w:strike/>
                    </w:rPr>
                    <w:t>(4)</w:t>
                  </w:r>
                  <w:r>
                    <w:t>]  the fact that the defendant resides out of state, does not have a valid driver's license, or does not have access to transportation.</w:t>
                  </w: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1.  Article 42A.403, Code of Criminal Proc</w:t>
                  </w:r>
                  <w:r>
                    <w:t>edure, is amended by amending Subsections (a) and (d) and adding Subsection (a-1) to read as follows: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 xml:space="preserve">(a)  A judge who places on community supervision a defendant convicted of an offense under Sections 49.04-49.08, Penal Code, shall require as a condition </w:t>
                  </w:r>
                  <w:r>
                    <w:t>of community supervision that the defendant [</w:t>
                  </w:r>
                  <w:r>
                    <w:rPr>
                      <w:strike/>
                    </w:rPr>
                    <w:t>attend and</w:t>
                  </w:r>
                  <w:r>
                    <w:t xml:space="preserve">] successfully complete, before the 181st day after the date community supervision is granted, an educational program designed to rehabilitate persons who have driven while intoxicated that is jointly </w:t>
                  </w:r>
                  <w:r>
                    <w:t>approved by:</w:t>
                  </w:r>
                </w:p>
                <w:p w:rsidR="00E755E0" w:rsidRDefault="006D6BE5" w:rsidP="00E7684F">
                  <w:pPr>
                    <w:jc w:val="both"/>
                  </w:pPr>
                  <w:r w:rsidRPr="00DA21A8">
                    <w:t xml:space="preserve">(1)  the </w:t>
                  </w:r>
                  <w:r w:rsidRPr="00CD5220">
                    <w:rPr>
                      <w:highlight w:val="lightGray"/>
                      <w:u w:val="single"/>
                    </w:rPr>
                    <w:t>Texas Department of Licensing and Regulation</w:t>
                  </w:r>
                  <w:r w:rsidRPr="00CD5220">
                    <w:rPr>
                      <w:highlight w:val="lightGray"/>
                    </w:rPr>
                    <w:t xml:space="preserve"> [</w:t>
                  </w:r>
                  <w:r w:rsidRPr="00CD5220">
                    <w:rPr>
                      <w:strike/>
                      <w:highlight w:val="lightGray"/>
                    </w:rPr>
                    <w:t>Department of State Health Services</w:t>
                  </w:r>
                  <w:r w:rsidRPr="00CD5220">
                    <w:rPr>
                      <w:highlight w:val="lightGray"/>
                    </w:rPr>
                    <w:t>];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(2)  the Department of Public Safety;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(3)  the traffic safety section of the traffic operations division of the Texas Department of Transportation; an</w:t>
                  </w:r>
                  <w:r>
                    <w:t>d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(4)  the community justice assistance division of the Texas Department of Criminal Justice.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rPr>
                      <w:u w:val="single"/>
                    </w:rPr>
                    <w:t xml:space="preserve">(a-1)  The educational program approved under Subsection (a) may be provided through classroom instruction or </w:t>
                  </w:r>
                  <w:r w:rsidRPr="00CD5220">
                    <w:rPr>
                      <w:highlight w:val="lightGray"/>
                      <w:u w:val="single"/>
                    </w:rPr>
                    <w:t>through</w:t>
                  </w:r>
                  <w:r>
                    <w:rPr>
                      <w:u w:val="single"/>
                    </w:rPr>
                    <w:t xml:space="preserve"> an online format </w:t>
                  </w:r>
                  <w:r w:rsidRPr="00CD5220">
                    <w:rPr>
                      <w:highlight w:val="lightGray"/>
                      <w:u w:val="single"/>
                    </w:rPr>
                    <w:t>approved by the Texas Depar</w:t>
                  </w:r>
                  <w:r w:rsidRPr="00CD5220">
                    <w:rPr>
                      <w:highlight w:val="lightGray"/>
                      <w:u w:val="single"/>
                    </w:rPr>
                    <w:t>tment of Licensing and Regulation for administration</w:t>
                  </w:r>
                  <w:r>
                    <w:rPr>
                      <w:u w:val="single"/>
                    </w:rPr>
                    <w:t xml:space="preserve"> over the Internet.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(d)  In determining good cause, the judge may consider but is not limited to: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(1)  the defendant's school and work schedule;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 xml:space="preserve">(2)  the defendant's health; </w:t>
                  </w:r>
                  <w:r>
                    <w:rPr>
                      <w:u w:val="single"/>
                    </w:rPr>
                    <w:t>and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 xml:space="preserve">(3)  </w:t>
                  </w:r>
                  <w:r>
                    <w:rPr>
                      <w:u w:val="single"/>
                    </w:rPr>
                    <w:t>if an educational pro</w:t>
                  </w:r>
                  <w:r>
                    <w:rPr>
                      <w:u w:val="single"/>
                    </w:rPr>
                    <w:t>gram is not available to the defendant in an online format administered over the Internet: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 the distance that the defendant must travel to attend an educational program </w:t>
                  </w:r>
                  <w:r>
                    <w:rPr>
                      <w:u w:val="single"/>
                    </w:rPr>
                    <w:t>provided through classroom instruction</w:t>
                  </w:r>
                  <w:r>
                    <w:t>; and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[</w:t>
                  </w:r>
                  <w:r>
                    <w:rPr>
                      <w:strike/>
                    </w:rPr>
                    <w:t>(4)</w:t>
                  </w:r>
                  <w:r>
                    <w:t xml:space="preserve">]  the fact that the defendant </w:t>
                  </w:r>
                  <w:r>
                    <w:t>resides out of state, does not have a valid driver's license, or does not have access to transportation.</w:t>
                  </w:r>
                </w:p>
              </w:tc>
            </w:tr>
            <w:tr w:rsidR="001D7864" w:rsidTr="00E755E0">
              <w:tc>
                <w:tcPr>
                  <w:tcW w:w="4711" w:type="dxa"/>
                  <w:tcMar>
                    <w:righ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 xml:space="preserve">SECTION 2.  Article 42A.404, Code of Criminal Procedure, is amended by amending Subsections (a) and (b) and adding Subsection (a-1) to read as </w:t>
                  </w:r>
                  <w:r>
                    <w:t>follows: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lastRenderedPageBreak/>
                    <w:t>(a)  The judge shall require a defendant who is punished under Section 49.09, Penal Code, to [</w:t>
                  </w:r>
                  <w:r>
                    <w:rPr>
                      <w:strike/>
                    </w:rPr>
                    <w:t>attend and</w:t>
                  </w:r>
                  <w:r>
                    <w:t xml:space="preserve">] successfully complete as a condition of community supervision an educational program for repeat offenders that is approved by the Department </w:t>
                  </w:r>
                  <w:r>
                    <w:t>of State Health Services.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rPr>
                      <w:u w:val="single"/>
                    </w:rPr>
                    <w:t>(a-1)  The educational program for repeat offenders approved under Subsection (a) may be provided through classroom instruction or in an online format administered over the Internet.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(b)  The judge may waive the educational progra</w:t>
                  </w:r>
                  <w:r>
                    <w:t>m requirement only if the defendant by a motion in writing shows good cause.  In determining good cause, the judge may consider: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(1)  the defendant's school and work schedule;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 xml:space="preserve">(2)  the defendant's health; </w:t>
                  </w:r>
                  <w:r>
                    <w:rPr>
                      <w:u w:val="single"/>
                    </w:rPr>
                    <w:t>and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 xml:space="preserve">(3)  </w:t>
                  </w:r>
                  <w:r>
                    <w:rPr>
                      <w:u w:val="single"/>
                    </w:rPr>
                    <w:t xml:space="preserve">if an educational program for repeat </w:t>
                  </w:r>
                  <w:r>
                    <w:rPr>
                      <w:u w:val="single"/>
                    </w:rPr>
                    <w:t>offenders is not available to the defendant in an online format administered over the Internet: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 the distance that the defendant must travel to attend an educational program </w:t>
                  </w:r>
                  <w:r>
                    <w:rPr>
                      <w:u w:val="single"/>
                    </w:rPr>
                    <w:t>provided through classroom instruction</w:t>
                  </w:r>
                  <w:r>
                    <w:t>; and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rPr>
                      <w:u w:val="single"/>
                    </w:rPr>
                    <w:t>(B)  the fact that</w:t>
                  </w:r>
                  <w:r>
                    <w:t xml:space="preserve"> [</w:t>
                  </w:r>
                  <w:r>
                    <w:rPr>
                      <w:strike/>
                    </w:rPr>
                    <w:t>(4) whether</w:t>
                  </w:r>
                  <w:r>
                    <w:t xml:space="preserve">]  </w:t>
                  </w:r>
                  <w:r>
                    <w:t>the defendant resides out of state or does not have access to transportation.</w:t>
                  </w: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 w:rsidRPr="00CD5220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E755E0" w:rsidRDefault="006D6BE5" w:rsidP="00E7684F">
                  <w:pPr>
                    <w:jc w:val="both"/>
                  </w:pPr>
                </w:p>
              </w:tc>
            </w:tr>
            <w:tr w:rsidR="001D7864" w:rsidTr="00E755E0">
              <w:tc>
                <w:tcPr>
                  <w:tcW w:w="4711" w:type="dxa"/>
                  <w:tcMar>
                    <w:righ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lastRenderedPageBreak/>
                    <w:t>SECTION 3.  Article 42A.406(a), Code of Criminal Procedure, is amended</w:t>
                  </w:r>
                  <w:r>
                    <w:t>.</w:t>
                  </w: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2. Same as introduced version.</w:t>
                  </w:r>
                </w:p>
                <w:p w:rsidR="00E755E0" w:rsidRDefault="006D6BE5" w:rsidP="00E7684F">
                  <w:pPr>
                    <w:jc w:val="both"/>
                  </w:pPr>
                </w:p>
              </w:tc>
            </w:tr>
            <w:tr w:rsidR="001D7864" w:rsidTr="00E755E0">
              <w:tc>
                <w:tcPr>
                  <w:tcW w:w="4711" w:type="dxa"/>
                  <w:tcMar>
                    <w:righ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4.  Articles 42A.407(b) and (c</w:t>
                  </w:r>
                  <w:r>
                    <w:t>), Code of Criminal Procedure, are amended to read as follows:</w:t>
                  </w:r>
                </w:p>
                <w:p w:rsidR="00E755E0" w:rsidRPr="00CD5220" w:rsidRDefault="006D6BE5" w:rsidP="00E7684F">
                  <w:pPr>
                    <w:jc w:val="both"/>
                    <w:rPr>
                      <w:highlight w:val="lightGray"/>
                    </w:rPr>
                  </w:pPr>
                  <w:r w:rsidRPr="00CD5220">
                    <w:rPr>
                      <w:highlight w:val="lightGray"/>
                    </w:rPr>
                    <w:t xml:space="preserve">(b)  Notwithstanding Sections 521.344(d)-(i), Transportation Code, if under Article 42A.404 the judge requires a defendant punished under Section 49.09, Penal Code, to </w:t>
                  </w:r>
                  <w:r w:rsidRPr="00CD5220">
                    <w:rPr>
                      <w:highlight w:val="lightGray"/>
                      <w:u w:val="single"/>
                    </w:rPr>
                    <w:t>successfully complete</w:t>
                  </w:r>
                  <w:r w:rsidRPr="00CD5220">
                    <w:rPr>
                      <w:highlight w:val="lightGray"/>
                    </w:rPr>
                    <w:t xml:space="preserve"> [</w:t>
                  </w:r>
                  <w:r w:rsidRPr="00CD5220">
                    <w:rPr>
                      <w:strike/>
                      <w:highlight w:val="lightGray"/>
                    </w:rPr>
                    <w:t>at</w:t>
                  </w:r>
                  <w:r w:rsidRPr="00CD5220">
                    <w:rPr>
                      <w:strike/>
                      <w:highlight w:val="lightGray"/>
                    </w:rPr>
                    <w:t>tend</w:t>
                  </w:r>
                  <w:r w:rsidRPr="00CD5220">
                    <w:rPr>
                      <w:highlight w:val="lightGray"/>
                    </w:rPr>
                    <w:t xml:space="preserve">] an educational program as a condition of community supervision, or waives the required </w:t>
                  </w:r>
                  <w:r w:rsidRPr="00CD5220">
                    <w:rPr>
                      <w:highlight w:val="lightGray"/>
                      <w:u w:val="single"/>
                    </w:rPr>
                    <w:t>completion of</w:t>
                  </w:r>
                  <w:r w:rsidRPr="00CD5220">
                    <w:rPr>
                      <w:highlight w:val="lightGray"/>
                    </w:rPr>
                    <w:t xml:space="preserve"> [</w:t>
                  </w:r>
                  <w:r w:rsidRPr="00CD5220">
                    <w:rPr>
                      <w:strike/>
                      <w:highlight w:val="lightGray"/>
                    </w:rPr>
                    <w:t>attendance for</w:t>
                  </w:r>
                  <w:r w:rsidRPr="00CD5220">
                    <w:rPr>
                      <w:highlight w:val="lightGray"/>
                    </w:rPr>
                    <w:t xml:space="preserve">] the program, and the defendant has previously been required to </w:t>
                  </w:r>
                  <w:r w:rsidRPr="00CD5220">
                    <w:rPr>
                      <w:highlight w:val="lightGray"/>
                      <w:u w:val="single"/>
                    </w:rPr>
                    <w:t>successfully complete</w:t>
                  </w:r>
                  <w:r w:rsidRPr="00CD5220">
                    <w:rPr>
                      <w:highlight w:val="lightGray"/>
                    </w:rPr>
                    <w:t xml:space="preserve"> [</w:t>
                  </w:r>
                  <w:r w:rsidRPr="00CD5220">
                    <w:rPr>
                      <w:strike/>
                      <w:highlight w:val="lightGray"/>
                    </w:rPr>
                    <w:t>attend</w:t>
                  </w:r>
                  <w:r w:rsidRPr="00CD5220">
                    <w:rPr>
                      <w:highlight w:val="lightGray"/>
                    </w:rPr>
                    <w:t>] such an educational program, or the re</w:t>
                  </w:r>
                  <w:r w:rsidRPr="00CD5220">
                    <w:rPr>
                      <w:highlight w:val="lightGray"/>
                    </w:rPr>
                    <w:t xml:space="preserve">quired </w:t>
                  </w:r>
                  <w:r w:rsidRPr="00CD5220">
                    <w:rPr>
                      <w:highlight w:val="lightGray"/>
                      <w:u w:val="single"/>
                    </w:rPr>
                    <w:t>completion of</w:t>
                  </w:r>
                  <w:r w:rsidRPr="00CD5220">
                    <w:rPr>
                      <w:highlight w:val="lightGray"/>
                    </w:rPr>
                    <w:t xml:space="preserve"> [</w:t>
                  </w:r>
                  <w:r w:rsidRPr="00CD5220">
                    <w:rPr>
                      <w:strike/>
                      <w:highlight w:val="lightGray"/>
                    </w:rPr>
                    <w:t>attendance at</w:t>
                  </w:r>
                  <w:r w:rsidRPr="00CD5220">
                    <w:rPr>
                      <w:highlight w:val="lightGray"/>
                    </w:rPr>
                    <w:t>] the program had been waived, the judge shall order the suspension of the defendant's driver's license for a period determined by the judge according to the following schedule:</w:t>
                  </w:r>
                </w:p>
                <w:p w:rsidR="00E755E0" w:rsidRPr="00CD5220" w:rsidRDefault="006D6BE5" w:rsidP="00E7684F">
                  <w:pPr>
                    <w:jc w:val="both"/>
                    <w:rPr>
                      <w:highlight w:val="lightGray"/>
                    </w:rPr>
                  </w:pPr>
                  <w:r w:rsidRPr="00CD5220">
                    <w:rPr>
                      <w:highlight w:val="lightGray"/>
                    </w:rPr>
                    <w:t>(1)  not less than 90 days or more than one</w:t>
                  </w:r>
                  <w:r w:rsidRPr="00CD5220">
                    <w:rPr>
                      <w:highlight w:val="lightGray"/>
                    </w:rPr>
                    <w:t xml:space="preserve"> year, if the defendant is convicted under Sections 49.04-49.08, Penal Code;</w:t>
                  </w:r>
                </w:p>
                <w:p w:rsidR="00E755E0" w:rsidRPr="00CD5220" w:rsidRDefault="006D6BE5" w:rsidP="00E7684F">
                  <w:pPr>
                    <w:jc w:val="both"/>
                    <w:rPr>
                      <w:highlight w:val="lightGray"/>
                    </w:rPr>
                  </w:pPr>
                  <w:r w:rsidRPr="00CD5220">
                    <w:rPr>
                      <w:highlight w:val="lightGray"/>
                    </w:rPr>
                    <w:t>(2)  not less than 180 days or more than two years, if the defendant is punished under Section 49.09(a) or (b), Penal Code; or</w:t>
                  </w:r>
                </w:p>
                <w:p w:rsidR="00E755E0" w:rsidRDefault="006D6BE5" w:rsidP="00E7684F">
                  <w:pPr>
                    <w:jc w:val="both"/>
                  </w:pPr>
                  <w:r w:rsidRPr="00CD5220">
                    <w:rPr>
                      <w:highlight w:val="lightGray"/>
                    </w:rPr>
                    <w:t xml:space="preserve">(3)  not less than one year or more than two years, </w:t>
                  </w:r>
                  <w:r w:rsidRPr="00CD5220">
                    <w:rPr>
                      <w:highlight w:val="lightGray"/>
                    </w:rPr>
                    <w:t>if the defendant is convicted of a second or subsequent offense under Sections 49.04-49.08, Penal Code, committed within five years of the date on which the most recent preceding offense was committed.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(c)  If the Department of Public Safety receives notic</w:t>
                  </w:r>
                  <w:r>
                    <w:t xml:space="preserve">e that a defendant has been required to </w:t>
                  </w:r>
                  <w:r>
                    <w:rPr>
                      <w:u w:val="single"/>
                    </w:rPr>
                    <w:t>successfully complete</w:t>
                  </w:r>
                  <w:r>
                    <w:t xml:space="preserve"> [</w:t>
                  </w:r>
                  <w:r>
                    <w:rPr>
                      <w:strike/>
                    </w:rPr>
                    <w:t>attend</w:t>
                  </w:r>
                  <w:r>
                    <w:t xml:space="preserve">] a subsequent educational program under Article 42A.403 or 42A.404, although the previously required </w:t>
                  </w:r>
                  <w:r>
                    <w:rPr>
                      <w:u w:val="single"/>
                    </w:rPr>
                    <w:t>educational program</w:t>
                  </w:r>
                  <w:r>
                    <w:t xml:space="preserve"> [</w:t>
                  </w:r>
                  <w:r>
                    <w:rPr>
                      <w:strike/>
                    </w:rPr>
                    <w:t>attendance</w:t>
                  </w:r>
                  <w:r>
                    <w:t>] had been waived, but the judge has not ordered a per</w:t>
                  </w:r>
                  <w:r>
                    <w:t>iod of suspension, the department shall:</w:t>
                  </w:r>
                </w:p>
                <w:p w:rsidR="00CD5220" w:rsidRDefault="006D6BE5" w:rsidP="00E7684F">
                  <w:pPr>
                    <w:jc w:val="both"/>
                  </w:pPr>
                </w:p>
                <w:p w:rsidR="00E755E0" w:rsidRDefault="006D6BE5" w:rsidP="00E7684F">
                  <w:pPr>
                    <w:jc w:val="both"/>
                  </w:pPr>
                  <w:r>
                    <w:t>(1)  suspend the defendant's driver's license; or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(2)  issue an order prohibiting the defendant from obtaining a license for a period of one year.</w:t>
                  </w: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3.  Article 42A.407(c), Code of Criminal Procedure, is amen</w:t>
                  </w:r>
                  <w:r>
                    <w:t>ded to read as follows:</w:t>
                  </w: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CD5220" w:rsidRDefault="006D6BE5" w:rsidP="00E7684F">
                  <w:pPr>
                    <w:jc w:val="both"/>
                  </w:pPr>
                </w:p>
                <w:p w:rsidR="00E755E0" w:rsidRDefault="006D6BE5" w:rsidP="00E7684F">
                  <w:pPr>
                    <w:jc w:val="both"/>
                  </w:pPr>
                  <w:r>
                    <w:t xml:space="preserve">(c)  If the Department of Public Safety receives notice that a defendant has been required to </w:t>
                  </w:r>
                  <w:r>
                    <w:rPr>
                      <w:u w:val="single"/>
                    </w:rPr>
                    <w:t>successfully complete</w:t>
                  </w:r>
                  <w:r>
                    <w:t xml:space="preserve"> [</w:t>
                  </w:r>
                  <w:r>
                    <w:rPr>
                      <w:strike/>
                    </w:rPr>
                    <w:t>attend</w:t>
                  </w:r>
                  <w:r>
                    <w:t xml:space="preserve">] a subsequent educational program under Article 42A.403 or </w:t>
                  </w:r>
                  <w:r w:rsidRPr="006D28E3">
                    <w:rPr>
                      <w:highlight w:val="lightGray"/>
                      <w:u w:val="single"/>
                    </w:rPr>
                    <w:t xml:space="preserve">attend a subsequent </w:t>
                  </w:r>
                  <w:r w:rsidRPr="006D28E3">
                    <w:rPr>
                      <w:highlight w:val="lightGray"/>
                      <w:u w:val="single"/>
                    </w:rPr>
                    <w:t>educational program under Article</w:t>
                  </w:r>
                  <w:r>
                    <w:t xml:space="preserve"> 42A.404, although the previously required </w:t>
                  </w:r>
                  <w:r>
                    <w:rPr>
                      <w:u w:val="single"/>
                    </w:rPr>
                    <w:t>educational program</w:t>
                  </w:r>
                  <w:r>
                    <w:t xml:space="preserve"> [</w:t>
                  </w:r>
                  <w:r>
                    <w:rPr>
                      <w:strike/>
                    </w:rPr>
                    <w:t>attendance</w:t>
                  </w:r>
                  <w:r>
                    <w:t>] had been waived, but the judge has not ordered a period of suspension, the department shall: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>(1)  suspend the defendant's driver's license; or</w:t>
                  </w:r>
                </w:p>
                <w:p w:rsidR="00E755E0" w:rsidRDefault="006D6BE5" w:rsidP="00E7684F">
                  <w:pPr>
                    <w:jc w:val="both"/>
                  </w:pPr>
                  <w:r>
                    <w:t xml:space="preserve">(2) </w:t>
                  </w:r>
                  <w:r>
                    <w:t xml:space="preserve"> issue an order prohibiting the defendant from obtaining a license for a period of one year.</w:t>
                  </w:r>
                </w:p>
              </w:tc>
            </w:tr>
            <w:tr w:rsidR="001D7864" w:rsidTr="00E755E0">
              <w:tc>
                <w:tcPr>
                  <w:tcW w:w="4711" w:type="dxa"/>
                  <w:tcMar>
                    <w:righ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5.  Section 521.342(b), Transportation Code, is amended</w:t>
                  </w:r>
                  <w:r>
                    <w:t>.</w:t>
                  </w: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4. Same as introduced version.</w:t>
                  </w:r>
                </w:p>
                <w:p w:rsidR="00E755E0" w:rsidRDefault="006D6BE5" w:rsidP="00E7684F">
                  <w:pPr>
                    <w:jc w:val="both"/>
                  </w:pPr>
                </w:p>
              </w:tc>
            </w:tr>
            <w:tr w:rsidR="001D7864" w:rsidTr="00E755E0">
              <w:tc>
                <w:tcPr>
                  <w:tcW w:w="4711" w:type="dxa"/>
                  <w:tcMar>
                    <w:righ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 xml:space="preserve">SECTION 6.  Section 521.344(h), Transportation Code, is </w:t>
                  </w:r>
                  <w:r>
                    <w:t>amended</w:t>
                  </w:r>
                  <w:r>
                    <w:t>.</w:t>
                  </w: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5. Same as introduced version.</w:t>
                  </w:r>
                </w:p>
                <w:p w:rsidR="00E755E0" w:rsidRDefault="006D6BE5" w:rsidP="00E7684F">
                  <w:pPr>
                    <w:jc w:val="both"/>
                  </w:pPr>
                </w:p>
              </w:tc>
            </w:tr>
            <w:tr w:rsidR="001D7864" w:rsidTr="00E755E0">
              <w:tc>
                <w:tcPr>
                  <w:tcW w:w="4711" w:type="dxa"/>
                  <w:tcMar>
                    <w:righ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7.  The change in law made by this Act applies to a person who is placed on community supervision on or after the effective date of this Act, regardless of whether the underlying conduct giving rise</w:t>
                  </w:r>
                  <w:r>
                    <w:t xml:space="preserve"> to the placement on community supervision occurred before, on, or after that date.</w:t>
                  </w: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6. Same as introduced version.</w:t>
                  </w:r>
                </w:p>
                <w:p w:rsidR="00E755E0" w:rsidRDefault="006D6BE5" w:rsidP="00E7684F">
                  <w:pPr>
                    <w:jc w:val="both"/>
                  </w:pPr>
                </w:p>
                <w:p w:rsidR="00E755E0" w:rsidRDefault="006D6BE5" w:rsidP="00E7684F">
                  <w:pPr>
                    <w:jc w:val="both"/>
                  </w:pPr>
                </w:p>
              </w:tc>
            </w:tr>
            <w:tr w:rsidR="001D7864" w:rsidTr="00E755E0">
              <w:tc>
                <w:tcPr>
                  <w:tcW w:w="4711" w:type="dxa"/>
                  <w:tcMar>
                    <w:righ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8.  This Act takes effect September 1, 2017.</w:t>
                  </w:r>
                </w:p>
              </w:tc>
              <w:tc>
                <w:tcPr>
                  <w:tcW w:w="4635" w:type="dxa"/>
                  <w:tcMar>
                    <w:left w:w="360" w:type="dxa"/>
                  </w:tcMar>
                </w:tcPr>
                <w:p w:rsidR="00E755E0" w:rsidRDefault="006D6BE5" w:rsidP="00E7684F">
                  <w:pPr>
                    <w:jc w:val="both"/>
                  </w:pPr>
                  <w:r>
                    <w:t>SECTION 7. Same as introduced version.</w:t>
                  </w:r>
                </w:p>
                <w:p w:rsidR="00E755E0" w:rsidRDefault="006D6BE5" w:rsidP="00E7684F">
                  <w:pPr>
                    <w:jc w:val="both"/>
                  </w:pPr>
                </w:p>
              </w:tc>
            </w:tr>
          </w:tbl>
          <w:p w:rsidR="00E755E0" w:rsidRDefault="006D6BE5" w:rsidP="00E7684F"/>
          <w:p w:rsidR="00E755E0" w:rsidRPr="009C1E9A" w:rsidRDefault="006D6BE5" w:rsidP="00E7684F">
            <w:pPr>
              <w:rPr>
                <w:b/>
                <w:u w:val="single"/>
              </w:rPr>
            </w:pPr>
          </w:p>
        </w:tc>
      </w:tr>
    </w:tbl>
    <w:p w:rsidR="008423E4" w:rsidRPr="00BE0E75" w:rsidRDefault="006D6B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6BE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6BE5">
      <w:r>
        <w:separator/>
      </w:r>
    </w:p>
  </w:endnote>
  <w:endnote w:type="continuationSeparator" w:id="0">
    <w:p w:rsidR="00000000" w:rsidRDefault="006D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7864" w:rsidTr="009C1E9A">
      <w:trPr>
        <w:cantSplit/>
      </w:trPr>
      <w:tc>
        <w:tcPr>
          <w:tcW w:w="0" w:type="pct"/>
        </w:tcPr>
        <w:p w:rsidR="00137D90" w:rsidRDefault="006D6B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6B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6B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6B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6B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7864" w:rsidTr="009C1E9A">
      <w:trPr>
        <w:cantSplit/>
      </w:trPr>
      <w:tc>
        <w:tcPr>
          <w:tcW w:w="0" w:type="pct"/>
        </w:tcPr>
        <w:p w:rsidR="00EC379B" w:rsidRDefault="006D6B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6B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27873</w:t>
          </w:r>
        </w:p>
      </w:tc>
      <w:tc>
        <w:tcPr>
          <w:tcW w:w="2453" w:type="pct"/>
        </w:tcPr>
        <w:p w:rsidR="00EC379B" w:rsidRDefault="006D6B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17.122.1050</w:t>
          </w:r>
          <w:r>
            <w:fldChar w:fldCharType="end"/>
          </w:r>
        </w:p>
      </w:tc>
    </w:tr>
    <w:tr w:rsidR="001D7864" w:rsidTr="009C1E9A">
      <w:trPr>
        <w:cantSplit/>
      </w:trPr>
      <w:tc>
        <w:tcPr>
          <w:tcW w:w="0" w:type="pct"/>
        </w:tcPr>
        <w:p w:rsidR="00EC379B" w:rsidRDefault="006D6B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6B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22789</w:t>
          </w:r>
        </w:p>
      </w:tc>
      <w:tc>
        <w:tcPr>
          <w:tcW w:w="2453" w:type="pct"/>
        </w:tcPr>
        <w:p w:rsidR="00EC379B" w:rsidRDefault="006D6BE5" w:rsidP="006D504F">
          <w:pPr>
            <w:pStyle w:val="Footer"/>
            <w:rPr>
              <w:rStyle w:val="PageNumber"/>
            </w:rPr>
          </w:pPr>
        </w:p>
        <w:p w:rsidR="00EC379B" w:rsidRDefault="006D6B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78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6B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6B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6B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6BE5">
      <w:r>
        <w:separator/>
      </w:r>
    </w:p>
  </w:footnote>
  <w:footnote w:type="continuationSeparator" w:id="0">
    <w:p w:rsidR="00000000" w:rsidRDefault="006D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64"/>
    <w:rsid w:val="001D7864"/>
    <w:rsid w:val="006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73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0EA"/>
  </w:style>
  <w:style w:type="paragraph" w:styleId="CommentSubject">
    <w:name w:val="annotation subject"/>
    <w:basedOn w:val="CommentText"/>
    <w:next w:val="CommentText"/>
    <w:link w:val="CommentSubjectChar"/>
    <w:rsid w:val="0097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0EA"/>
    <w:rPr>
      <w:b/>
      <w:bCs/>
    </w:rPr>
  </w:style>
  <w:style w:type="paragraph" w:styleId="Revision">
    <w:name w:val="Revision"/>
    <w:hidden/>
    <w:uiPriority w:val="99"/>
    <w:semiHidden/>
    <w:rsid w:val="000D6E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73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0EA"/>
  </w:style>
  <w:style w:type="paragraph" w:styleId="CommentSubject">
    <w:name w:val="annotation subject"/>
    <w:basedOn w:val="CommentText"/>
    <w:next w:val="CommentText"/>
    <w:link w:val="CommentSubjectChar"/>
    <w:rsid w:val="00973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0EA"/>
    <w:rPr>
      <w:b/>
      <w:bCs/>
    </w:rPr>
  </w:style>
  <w:style w:type="paragraph" w:styleId="Revision">
    <w:name w:val="Revision"/>
    <w:hidden/>
    <w:uiPriority w:val="99"/>
    <w:semiHidden/>
    <w:rsid w:val="000D6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1562</Words>
  <Characters>8699</Characters>
  <Application>Microsoft Office Word</Application>
  <DocSecurity>4</DocSecurity>
  <Lines>311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HB00833 (Committee Report (Substituted))</vt:lpstr>
    </vt:vector>
  </TitlesOfParts>
  <Company>State of Texas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27873</dc:subject>
  <dc:creator>State of Texas</dc:creator>
  <dc:description>HB 833 by King, Phil-(H)Criminal Jurisprudence (Substitute Document Number: 85R 22789)</dc:description>
  <cp:lastModifiedBy>Alexander McMillan</cp:lastModifiedBy>
  <cp:revision>2</cp:revision>
  <cp:lastPrinted>2017-05-03T14:50:00Z</cp:lastPrinted>
  <dcterms:created xsi:type="dcterms:W3CDTF">2017-05-08T23:30:00Z</dcterms:created>
  <dcterms:modified xsi:type="dcterms:W3CDTF">2017-05-08T23:30:00Z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17.122.1050</vt:lpwstr>
  </property>
</Properties>
</file>