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34687" w:rsidTr="00345119">
        <w:tc>
          <w:tcPr>
            <w:tcW w:w="9576" w:type="dxa"/>
            <w:noWrap/>
          </w:tcPr>
          <w:p w:rsidR="008423E4" w:rsidRPr="0022177D" w:rsidRDefault="0022292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22926" w:rsidP="008423E4">
      <w:pPr>
        <w:jc w:val="center"/>
      </w:pPr>
    </w:p>
    <w:p w:rsidR="008423E4" w:rsidRPr="00B31F0E" w:rsidRDefault="00222926" w:rsidP="008423E4"/>
    <w:p w:rsidR="008423E4" w:rsidRPr="00742794" w:rsidRDefault="0022292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34687" w:rsidTr="00345119">
        <w:tc>
          <w:tcPr>
            <w:tcW w:w="9576" w:type="dxa"/>
          </w:tcPr>
          <w:p w:rsidR="008423E4" w:rsidRPr="00861995" w:rsidRDefault="00222926" w:rsidP="00345119">
            <w:pPr>
              <w:jc w:val="right"/>
            </w:pPr>
            <w:r>
              <w:t>H.B. 915</w:t>
            </w:r>
          </w:p>
        </w:tc>
      </w:tr>
      <w:tr w:rsidR="00F34687" w:rsidTr="00345119">
        <w:tc>
          <w:tcPr>
            <w:tcW w:w="9576" w:type="dxa"/>
          </w:tcPr>
          <w:p w:rsidR="008423E4" w:rsidRPr="00861995" w:rsidRDefault="00222926" w:rsidP="0074630E">
            <w:pPr>
              <w:jc w:val="right"/>
            </w:pPr>
            <w:r>
              <w:t xml:space="preserve">By: </w:t>
            </w:r>
            <w:r>
              <w:t>Thompson, Ed</w:t>
            </w:r>
          </w:p>
        </w:tc>
      </w:tr>
      <w:tr w:rsidR="00F34687" w:rsidTr="00345119">
        <w:tc>
          <w:tcPr>
            <w:tcW w:w="9576" w:type="dxa"/>
          </w:tcPr>
          <w:p w:rsidR="008423E4" w:rsidRPr="00861995" w:rsidRDefault="00222926" w:rsidP="00345119">
            <w:pPr>
              <w:jc w:val="right"/>
            </w:pPr>
            <w:r>
              <w:t>Insurance</w:t>
            </w:r>
          </w:p>
        </w:tc>
      </w:tr>
      <w:tr w:rsidR="00F34687" w:rsidTr="00345119">
        <w:tc>
          <w:tcPr>
            <w:tcW w:w="9576" w:type="dxa"/>
          </w:tcPr>
          <w:p w:rsidR="008423E4" w:rsidRDefault="0022292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22926" w:rsidP="008423E4">
      <w:pPr>
        <w:tabs>
          <w:tab w:val="right" w:pos="9360"/>
        </w:tabs>
      </w:pPr>
    </w:p>
    <w:p w:rsidR="008423E4" w:rsidRDefault="00222926" w:rsidP="008423E4"/>
    <w:p w:rsidR="008423E4" w:rsidRDefault="0022292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34687" w:rsidTr="00345119">
        <w:tc>
          <w:tcPr>
            <w:tcW w:w="9576" w:type="dxa"/>
          </w:tcPr>
          <w:p w:rsidR="008423E4" w:rsidRPr="00A8133F" w:rsidRDefault="00222926" w:rsidP="0013299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22926" w:rsidP="00132997"/>
          <w:p w:rsidR="008423E4" w:rsidRDefault="00222926" w:rsidP="001329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that a person who drives an insured vehicle but who</w:t>
            </w:r>
            <w:r>
              <w:t xml:space="preserve"> is not named on </w:t>
            </w:r>
            <w:r>
              <w:t>a named driver</w:t>
            </w:r>
            <w:r>
              <w:t xml:space="preserve"> policy is not covered by the policy</w:t>
            </w:r>
            <w:r>
              <w:t xml:space="preserve"> regardless of whether the person</w:t>
            </w:r>
            <w:r>
              <w:t xml:space="preserve"> has permission from the policyholder to drive the vehicle. </w:t>
            </w:r>
            <w:r>
              <w:t xml:space="preserve">The parties contend </w:t>
            </w:r>
            <w:r>
              <w:t xml:space="preserve">that </w:t>
            </w:r>
            <w:r>
              <w:t>s</w:t>
            </w:r>
            <w:r>
              <w:t xml:space="preserve">ome policyholders and drivers </w:t>
            </w:r>
            <w:r>
              <w:t>are not aware of such</w:t>
            </w:r>
            <w:r>
              <w:t xml:space="preserve"> coverage restrictions </w:t>
            </w:r>
            <w:r>
              <w:t>and that n</w:t>
            </w:r>
            <w:r>
              <w:t>amed driver polic</w:t>
            </w:r>
            <w:r>
              <w:t>ies may leave injured third parties with limited recourse to recover damages.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915 </w:t>
            </w:r>
            <w:r>
              <w:t xml:space="preserve">seeks to address these issues by </w:t>
            </w:r>
            <w:r>
              <w:t>prohibit</w:t>
            </w:r>
            <w:r>
              <w:t>ing</w:t>
            </w:r>
            <w:r>
              <w:t xml:space="preserve"> </w:t>
            </w:r>
            <w:r>
              <w:t xml:space="preserve">the issuance or delivery of </w:t>
            </w:r>
            <w:r>
              <w:t xml:space="preserve">certain </w:t>
            </w:r>
            <w:r>
              <w:t xml:space="preserve">named driver policies. </w:t>
            </w:r>
          </w:p>
          <w:p w:rsidR="00132997" w:rsidRPr="00132997" w:rsidRDefault="00222926" w:rsidP="001329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F34687" w:rsidTr="00345119">
        <w:tc>
          <w:tcPr>
            <w:tcW w:w="9576" w:type="dxa"/>
          </w:tcPr>
          <w:p w:rsidR="0017725B" w:rsidRDefault="00222926" w:rsidP="0013299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22926" w:rsidP="00132997">
            <w:pPr>
              <w:rPr>
                <w:b/>
                <w:u w:val="single"/>
              </w:rPr>
            </w:pPr>
          </w:p>
          <w:p w:rsidR="00431D0A" w:rsidRPr="00431D0A" w:rsidRDefault="00222926" w:rsidP="00132997">
            <w:pPr>
              <w:jc w:val="both"/>
            </w:pPr>
            <w:r>
              <w:t>It is the committee's opinion that th</w:t>
            </w:r>
            <w:r>
              <w:t>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22926" w:rsidP="00132997">
            <w:pPr>
              <w:rPr>
                <w:b/>
                <w:u w:val="single"/>
              </w:rPr>
            </w:pPr>
          </w:p>
        </w:tc>
      </w:tr>
      <w:tr w:rsidR="00F34687" w:rsidTr="00345119">
        <w:tc>
          <w:tcPr>
            <w:tcW w:w="9576" w:type="dxa"/>
          </w:tcPr>
          <w:p w:rsidR="008423E4" w:rsidRPr="00A8133F" w:rsidRDefault="00222926" w:rsidP="00132997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RULEMAKING </w:t>
            </w:r>
            <w:r w:rsidRPr="009C1E9A">
              <w:rPr>
                <w:b/>
                <w:u w:val="single"/>
              </w:rPr>
              <w:t>AUTHORITY</w:t>
            </w:r>
            <w:r>
              <w:rPr>
                <w:b/>
              </w:rPr>
              <w:t xml:space="preserve"> </w:t>
            </w:r>
          </w:p>
          <w:p w:rsidR="008423E4" w:rsidRDefault="00222926" w:rsidP="00132997"/>
          <w:p w:rsidR="00431D0A" w:rsidRDefault="00222926" w:rsidP="001329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22926" w:rsidP="00132997">
            <w:pPr>
              <w:rPr>
                <w:b/>
              </w:rPr>
            </w:pPr>
          </w:p>
        </w:tc>
      </w:tr>
      <w:tr w:rsidR="00F34687" w:rsidTr="00345119">
        <w:tc>
          <w:tcPr>
            <w:tcW w:w="9576" w:type="dxa"/>
          </w:tcPr>
          <w:p w:rsidR="008423E4" w:rsidRPr="00A8133F" w:rsidRDefault="00222926" w:rsidP="0013299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22926" w:rsidP="00132997"/>
          <w:p w:rsidR="00D46D4F" w:rsidRDefault="00222926" w:rsidP="001329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915 amends the Insurance Code to</w:t>
            </w:r>
            <w:r>
              <w:t xml:space="preserve"> prohibit a</w:t>
            </w:r>
            <w:r>
              <w:t>n insurer</w:t>
            </w:r>
            <w:r>
              <w:t xml:space="preserve"> writing automobile insurance in Texas</w:t>
            </w:r>
            <w:r>
              <w:t xml:space="preserve"> </w:t>
            </w:r>
            <w:r>
              <w:t>from</w:t>
            </w:r>
            <w:r>
              <w:t xml:space="preserve"> deliver</w:t>
            </w:r>
            <w:r>
              <w:t>ing, issuing</w:t>
            </w:r>
            <w:r>
              <w:t xml:space="preserve"> for delivery, or renew</w:t>
            </w:r>
            <w:r>
              <w:t>ing</w:t>
            </w:r>
            <w:r>
              <w:t xml:space="preserve"> a named driver policy unless the named driver policy is an operator's policy. </w:t>
            </w:r>
            <w:r>
              <w:t xml:space="preserve">The bill defines, among other terms, "named driver policy" as </w:t>
            </w:r>
            <w:r w:rsidRPr="00227EF7">
              <w:t>an automobile insurance po</w:t>
            </w:r>
            <w:r w:rsidRPr="00227EF7">
              <w:t>licy that provides any type of coverage for individuals named on the policy but that does not provide coverage for every individual residing in a named insured's household.</w:t>
            </w:r>
            <w:r>
              <w:t xml:space="preserve"> </w:t>
            </w:r>
            <w:r>
              <w:t>The bill authorizes an insurer to</w:t>
            </w:r>
            <w:r>
              <w:t xml:space="preserve"> use a named driver exclusion if the exclusion spe</w:t>
            </w:r>
            <w:r>
              <w:t>cifically names each excluded driver and does not exclude a class of drivers and the named insured accepts the exclusion in writing.</w:t>
            </w:r>
            <w:r>
              <w:t xml:space="preserve"> </w:t>
            </w:r>
            <w:r>
              <w:t xml:space="preserve">  </w:t>
            </w:r>
            <w:r>
              <w:t xml:space="preserve">  </w:t>
            </w:r>
          </w:p>
          <w:p w:rsidR="00431D0A" w:rsidRDefault="00222926" w:rsidP="001329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46D4F" w:rsidRDefault="00222926" w:rsidP="001329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915 </w:t>
            </w:r>
            <w:r>
              <w:t xml:space="preserve">repeals provisions </w:t>
            </w:r>
            <w:r>
              <w:t xml:space="preserve">relating to </w:t>
            </w:r>
            <w:r>
              <w:t>an agent</w:t>
            </w:r>
            <w:r>
              <w:t>'s</w:t>
            </w:r>
            <w:r>
              <w:t xml:space="preserve"> or insurer</w:t>
            </w:r>
            <w:r>
              <w:t>'s</w:t>
            </w:r>
            <w:r>
              <w:t xml:space="preserve"> </w:t>
            </w:r>
            <w:r>
              <w:t xml:space="preserve">duty </w:t>
            </w:r>
            <w:r>
              <w:t>to</w:t>
            </w:r>
            <w:r>
              <w:t xml:space="preserve"> disclose </w:t>
            </w:r>
            <w:r>
              <w:t xml:space="preserve">certain information </w:t>
            </w:r>
            <w:r>
              <w:t xml:space="preserve">to an applicant </w:t>
            </w:r>
            <w:r>
              <w:t xml:space="preserve">or insured </w:t>
            </w:r>
            <w:r>
              <w:t xml:space="preserve">regarding </w:t>
            </w:r>
            <w:r>
              <w:t xml:space="preserve">a </w:t>
            </w:r>
            <w:r>
              <w:t>named driver polic</w:t>
            </w:r>
            <w:r>
              <w:t>y</w:t>
            </w:r>
            <w:r>
              <w:t xml:space="preserve"> before accepting any premium or fee for such a policy</w:t>
            </w:r>
            <w:r>
              <w:t>.</w:t>
            </w:r>
          </w:p>
          <w:p w:rsidR="0082362E" w:rsidRDefault="00222926" w:rsidP="001329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46D4F" w:rsidRDefault="00222926" w:rsidP="001329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915</w:t>
            </w:r>
            <w:r w:rsidRPr="00D46D4F">
              <w:t xml:space="preserve"> applies only to an insurance policy that is delivered, issued for delivery, or renewed on or after January 1, 2018. </w:t>
            </w:r>
          </w:p>
          <w:p w:rsidR="00D46D4F" w:rsidRDefault="00222926" w:rsidP="001329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46D4F" w:rsidRDefault="00222926" w:rsidP="001329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915 repeals the following</w:t>
            </w:r>
            <w:r>
              <w:t xml:space="preserve"> provisions:</w:t>
            </w:r>
          </w:p>
          <w:p w:rsidR="00D46D4F" w:rsidRDefault="00222926" w:rsidP="0013299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D46D4F">
              <w:t>Sectio</w:t>
            </w:r>
            <w:r>
              <w:t>n 1952.0545, Insurance Code</w:t>
            </w:r>
            <w:r w:rsidRPr="00D46D4F">
              <w:t xml:space="preserve"> </w:t>
            </w:r>
          </w:p>
          <w:p w:rsidR="00D46D4F" w:rsidRDefault="00222926" w:rsidP="0013299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D46D4F">
              <w:t>Section 601.081(a), Transportation Code</w:t>
            </w:r>
          </w:p>
          <w:p w:rsidR="008423E4" w:rsidRPr="00835628" w:rsidRDefault="00222926" w:rsidP="00132997">
            <w:pPr>
              <w:rPr>
                <w:b/>
              </w:rPr>
            </w:pPr>
          </w:p>
        </w:tc>
      </w:tr>
      <w:tr w:rsidR="00F34687" w:rsidTr="00345119">
        <w:tc>
          <w:tcPr>
            <w:tcW w:w="9576" w:type="dxa"/>
          </w:tcPr>
          <w:p w:rsidR="00132997" w:rsidRDefault="00222926" w:rsidP="00132997">
            <w:pPr>
              <w:rPr>
                <w:b/>
                <w:u w:val="single"/>
              </w:rPr>
            </w:pPr>
          </w:p>
          <w:p w:rsidR="00132997" w:rsidRDefault="00222926" w:rsidP="00132997">
            <w:pPr>
              <w:rPr>
                <w:b/>
                <w:u w:val="single"/>
              </w:rPr>
            </w:pPr>
          </w:p>
          <w:p w:rsidR="008423E4" w:rsidRPr="00A8133F" w:rsidRDefault="00222926" w:rsidP="00132997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132997" w:rsidRDefault="00222926" w:rsidP="001329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Pr="00132997" w:rsidRDefault="00222926" w:rsidP="001329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</w:tc>
      </w:tr>
    </w:tbl>
    <w:p w:rsidR="008423E4" w:rsidRPr="00BE0E75" w:rsidRDefault="0022292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22926" w:rsidP="008423E4"/>
    <w:sectPr w:rsidR="004108C3" w:rsidRPr="008423E4" w:rsidSect="006D5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2926">
      <w:r>
        <w:separator/>
      </w:r>
    </w:p>
  </w:endnote>
  <w:endnote w:type="continuationSeparator" w:id="0">
    <w:p w:rsidR="00000000" w:rsidRDefault="0022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229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34687" w:rsidTr="009C1E9A">
      <w:trPr>
        <w:cantSplit/>
      </w:trPr>
      <w:tc>
        <w:tcPr>
          <w:tcW w:w="0" w:type="pct"/>
        </w:tcPr>
        <w:p w:rsidR="00137D90" w:rsidRDefault="0022292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2292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2292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2292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2292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34687" w:rsidTr="009C1E9A">
      <w:trPr>
        <w:cantSplit/>
      </w:trPr>
      <w:tc>
        <w:tcPr>
          <w:tcW w:w="0" w:type="pct"/>
        </w:tcPr>
        <w:p w:rsidR="00EC379B" w:rsidRDefault="0022292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2292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16745</w:t>
          </w:r>
        </w:p>
      </w:tc>
      <w:tc>
        <w:tcPr>
          <w:tcW w:w="2453" w:type="pct"/>
        </w:tcPr>
        <w:p w:rsidR="00EC379B" w:rsidRDefault="0022292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17.68.840</w:t>
          </w:r>
          <w:r>
            <w:fldChar w:fldCharType="end"/>
          </w:r>
        </w:p>
      </w:tc>
    </w:tr>
    <w:tr w:rsidR="00F34687" w:rsidTr="009C1E9A">
      <w:trPr>
        <w:cantSplit/>
      </w:trPr>
      <w:tc>
        <w:tcPr>
          <w:tcW w:w="0" w:type="pct"/>
        </w:tcPr>
        <w:p w:rsidR="00EC379B" w:rsidRDefault="0022292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2292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22926" w:rsidP="006D504F">
          <w:pPr>
            <w:pStyle w:val="Footer"/>
            <w:rPr>
              <w:rStyle w:val="PageNumber"/>
            </w:rPr>
          </w:pPr>
        </w:p>
        <w:p w:rsidR="00EC379B" w:rsidRDefault="0022292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3468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2292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2292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2292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229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22926">
      <w:r>
        <w:separator/>
      </w:r>
    </w:p>
  </w:footnote>
  <w:footnote w:type="continuationSeparator" w:id="0">
    <w:p w:rsidR="00000000" w:rsidRDefault="00222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229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229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229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17367"/>
    <w:multiLevelType w:val="hybridMultilevel"/>
    <w:tmpl w:val="34AC1BE8"/>
    <w:lvl w:ilvl="0" w:tplc="F9F85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6081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B0AC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38FD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7AD6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CA81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1844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18E8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480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87"/>
    <w:rsid w:val="00222926"/>
    <w:rsid w:val="00F3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46D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6D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6D4F"/>
  </w:style>
  <w:style w:type="paragraph" w:styleId="CommentSubject">
    <w:name w:val="annotation subject"/>
    <w:basedOn w:val="CommentText"/>
    <w:next w:val="CommentText"/>
    <w:link w:val="CommentSubjectChar"/>
    <w:rsid w:val="00D46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6D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46D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6D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6D4F"/>
  </w:style>
  <w:style w:type="paragraph" w:styleId="CommentSubject">
    <w:name w:val="annotation subject"/>
    <w:basedOn w:val="CommentText"/>
    <w:next w:val="CommentText"/>
    <w:link w:val="CommentSubjectChar"/>
    <w:rsid w:val="00D46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6D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1975</Characters>
  <Application>Microsoft Office Word</Application>
  <DocSecurity>4</DocSecurity>
  <Lines>59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HB00915 (Committee Report (Unamended))</vt:lpstr>
    </vt:vector>
  </TitlesOfParts>
  <Company>State of Texas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16745</dc:subject>
  <dc:creator>State of Texas</dc:creator>
  <dc:description>HB 915 by Thompson, Ed-(H)Insurance</dc:description>
  <cp:lastModifiedBy>Molly Hoffman-Bricker</cp:lastModifiedBy>
  <cp:revision>2</cp:revision>
  <cp:lastPrinted>2017-03-10T16:13:00Z</cp:lastPrinted>
  <dcterms:created xsi:type="dcterms:W3CDTF">2017-03-30T20:30:00Z</dcterms:created>
  <dcterms:modified xsi:type="dcterms:W3CDTF">2017-03-30T20:30:00Z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17.68.840</vt:lpwstr>
  </property>
</Properties>
</file>