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0A5A2B" w:rsidTr="00345119">
        <w:tc>
          <w:tcPr>
            <w:tcW w:w="9576" w:type="dxa"/>
            <w:noWrap/>
          </w:tcPr>
          <w:p w:rsidR="008423E4" w:rsidRPr="0022177D" w:rsidRDefault="00C54FDA" w:rsidP="00345119">
            <w:pPr>
              <w:pStyle w:val="Heading1"/>
            </w:pPr>
            <w:bookmarkStart w:id="0" w:name="_GoBack"/>
            <w:bookmarkEnd w:id="0"/>
            <w:r w:rsidRPr="00631897">
              <w:t>BILL ANALYSIS</w:t>
            </w:r>
          </w:p>
        </w:tc>
      </w:tr>
    </w:tbl>
    <w:p w:rsidR="008423E4" w:rsidRPr="0022177D" w:rsidRDefault="00C54FDA" w:rsidP="008423E4">
      <w:pPr>
        <w:jc w:val="center"/>
      </w:pPr>
    </w:p>
    <w:p w:rsidR="008423E4" w:rsidRPr="00B31F0E" w:rsidRDefault="00C54FDA" w:rsidP="008423E4"/>
    <w:p w:rsidR="008423E4" w:rsidRPr="00742794" w:rsidRDefault="00C54FDA" w:rsidP="008423E4">
      <w:pPr>
        <w:tabs>
          <w:tab w:val="right" w:pos="9360"/>
        </w:tabs>
      </w:pPr>
    </w:p>
    <w:tbl>
      <w:tblPr>
        <w:tblW w:w="0" w:type="auto"/>
        <w:tblLayout w:type="fixed"/>
        <w:tblLook w:val="01E0" w:firstRow="1" w:lastRow="1" w:firstColumn="1" w:lastColumn="1" w:noHBand="0" w:noVBand="0"/>
      </w:tblPr>
      <w:tblGrid>
        <w:gridCol w:w="9576"/>
      </w:tblGrid>
      <w:tr w:rsidR="000A5A2B" w:rsidTr="00345119">
        <w:tc>
          <w:tcPr>
            <w:tcW w:w="9576" w:type="dxa"/>
          </w:tcPr>
          <w:p w:rsidR="008423E4" w:rsidRPr="00861995" w:rsidRDefault="00C54FDA" w:rsidP="00345119">
            <w:pPr>
              <w:jc w:val="right"/>
            </w:pPr>
            <w:r>
              <w:t>C.S.H.B. 923</w:t>
            </w:r>
          </w:p>
        </w:tc>
      </w:tr>
      <w:tr w:rsidR="000A5A2B" w:rsidTr="00345119">
        <w:tc>
          <w:tcPr>
            <w:tcW w:w="9576" w:type="dxa"/>
          </w:tcPr>
          <w:p w:rsidR="008423E4" w:rsidRPr="00861995" w:rsidRDefault="00C54FDA" w:rsidP="00BD129D">
            <w:pPr>
              <w:jc w:val="right"/>
            </w:pPr>
            <w:r>
              <w:t xml:space="preserve">By: </w:t>
            </w:r>
            <w:r>
              <w:t>Shaheen</w:t>
            </w:r>
          </w:p>
        </w:tc>
      </w:tr>
      <w:tr w:rsidR="000A5A2B" w:rsidTr="00345119">
        <w:tc>
          <w:tcPr>
            <w:tcW w:w="9576" w:type="dxa"/>
          </w:tcPr>
          <w:p w:rsidR="008423E4" w:rsidRPr="00861995" w:rsidRDefault="00C54FDA" w:rsidP="00345119">
            <w:pPr>
              <w:jc w:val="right"/>
            </w:pPr>
            <w:r>
              <w:t>Business &amp; Industry</w:t>
            </w:r>
          </w:p>
        </w:tc>
      </w:tr>
      <w:tr w:rsidR="000A5A2B" w:rsidTr="00345119">
        <w:tc>
          <w:tcPr>
            <w:tcW w:w="9576" w:type="dxa"/>
          </w:tcPr>
          <w:p w:rsidR="008423E4" w:rsidRDefault="00C54FDA" w:rsidP="00345119">
            <w:pPr>
              <w:jc w:val="right"/>
            </w:pPr>
            <w:r>
              <w:t>Committee Report (Substituted)</w:t>
            </w:r>
          </w:p>
        </w:tc>
      </w:tr>
    </w:tbl>
    <w:p w:rsidR="008423E4" w:rsidRDefault="00C54FDA" w:rsidP="008423E4">
      <w:pPr>
        <w:tabs>
          <w:tab w:val="right" w:pos="9360"/>
        </w:tabs>
      </w:pPr>
    </w:p>
    <w:p w:rsidR="008423E4" w:rsidRDefault="00C54FDA" w:rsidP="008423E4"/>
    <w:p w:rsidR="008423E4" w:rsidRDefault="00C54FDA" w:rsidP="008423E4"/>
    <w:tbl>
      <w:tblPr>
        <w:tblW w:w="0" w:type="auto"/>
        <w:tblCellMar>
          <w:left w:w="115" w:type="dxa"/>
          <w:right w:w="115" w:type="dxa"/>
        </w:tblCellMar>
        <w:tblLook w:val="01E0" w:firstRow="1" w:lastRow="1" w:firstColumn="1" w:lastColumn="1" w:noHBand="0" w:noVBand="0"/>
      </w:tblPr>
      <w:tblGrid>
        <w:gridCol w:w="9590"/>
      </w:tblGrid>
      <w:tr w:rsidR="000A5A2B" w:rsidTr="00BD129D">
        <w:tc>
          <w:tcPr>
            <w:tcW w:w="9582" w:type="dxa"/>
          </w:tcPr>
          <w:p w:rsidR="008423E4" w:rsidRPr="00A8133F" w:rsidRDefault="00C54FDA" w:rsidP="00A35D70">
            <w:pPr>
              <w:rPr>
                <w:b/>
              </w:rPr>
            </w:pPr>
            <w:r w:rsidRPr="009C1E9A">
              <w:rPr>
                <w:b/>
                <w:u w:val="single"/>
              </w:rPr>
              <w:t>BACKGROUND AND PURPOSE</w:t>
            </w:r>
            <w:r>
              <w:rPr>
                <w:b/>
              </w:rPr>
              <w:t xml:space="preserve"> </w:t>
            </w:r>
          </w:p>
          <w:p w:rsidR="008423E4" w:rsidRDefault="00C54FDA" w:rsidP="00A35D70"/>
          <w:p w:rsidR="008423E4" w:rsidRDefault="00C54FDA" w:rsidP="00A35D70">
            <w:pPr>
              <w:pStyle w:val="Header"/>
              <w:jc w:val="both"/>
            </w:pPr>
            <w:r>
              <w:t>Interested parties are concerned that</w:t>
            </w:r>
            <w:r>
              <w:t xml:space="preserve"> property owners' associations</w:t>
            </w:r>
            <w:r>
              <w:t xml:space="preserve"> are able to charge fines for restrictive covenant</w:t>
            </w:r>
            <w:r>
              <w:t xml:space="preserve"> violations</w:t>
            </w:r>
            <w:r>
              <w:t xml:space="preserve"> that </w:t>
            </w:r>
            <w:r>
              <w:t xml:space="preserve">are excessive in light of </w:t>
            </w:r>
            <w:r>
              <w:t xml:space="preserve">the severity of the violation. </w:t>
            </w:r>
            <w:r>
              <w:br/>
            </w:r>
            <w:r>
              <w:t>C.S.</w:t>
            </w:r>
            <w:r>
              <w:t xml:space="preserve">H.B. 923 </w:t>
            </w:r>
            <w:r>
              <w:t xml:space="preserve">seeks to </w:t>
            </w:r>
            <w:r>
              <w:t>address</w:t>
            </w:r>
            <w:r>
              <w:t xml:space="preserve"> these concerns </w:t>
            </w:r>
            <w:r>
              <w:t xml:space="preserve">by </w:t>
            </w:r>
            <w:r>
              <w:t xml:space="preserve">establishing requirements </w:t>
            </w:r>
            <w:r>
              <w:t>regarding</w:t>
            </w:r>
            <w:r>
              <w:t xml:space="preserve"> </w:t>
            </w:r>
            <w:r>
              <w:t>fine</w:t>
            </w:r>
            <w:r>
              <w:t>s</w:t>
            </w:r>
            <w:r>
              <w:t xml:space="preserve"> assessed by</w:t>
            </w:r>
            <w:r>
              <w:t xml:space="preserve"> a property owners' association</w:t>
            </w:r>
            <w:r>
              <w:t>.</w:t>
            </w:r>
          </w:p>
          <w:p w:rsidR="008423E4" w:rsidRPr="00E26B13" w:rsidRDefault="00C54FDA" w:rsidP="00A35D70">
            <w:pPr>
              <w:rPr>
                <w:b/>
              </w:rPr>
            </w:pPr>
          </w:p>
        </w:tc>
      </w:tr>
      <w:tr w:rsidR="000A5A2B" w:rsidTr="00BD129D">
        <w:tc>
          <w:tcPr>
            <w:tcW w:w="9582" w:type="dxa"/>
          </w:tcPr>
          <w:p w:rsidR="0017725B" w:rsidRDefault="00C54FDA" w:rsidP="00A35D70">
            <w:pPr>
              <w:rPr>
                <w:b/>
                <w:u w:val="single"/>
              </w:rPr>
            </w:pPr>
            <w:r>
              <w:rPr>
                <w:b/>
                <w:u w:val="single"/>
              </w:rPr>
              <w:t>CRIMINAL JUSTICE IMPACT</w:t>
            </w:r>
          </w:p>
          <w:p w:rsidR="0017725B" w:rsidRDefault="00C54FDA" w:rsidP="00A35D70">
            <w:pPr>
              <w:rPr>
                <w:b/>
                <w:u w:val="single"/>
              </w:rPr>
            </w:pPr>
          </w:p>
          <w:p w:rsidR="00C3623E" w:rsidRPr="00C3623E" w:rsidRDefault="00C54FDA" w:rsidP="00A35D70">
            <w:pPr>
              <w:jc w:val="both"/>
            </w:pPr>
            <w:r>
              <w:t xml:space="preserve">It is the committee's opinion </w:t>
            </w:r>
            <w:r>
              <w:t>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C54FDA" w:rsidP="00A35D70">
            <w:pPr>
              <w:rPr>
                <w:b/>
                <w:u w:val="single"/>
              </w:rPr>
            </w:pPr>
          </w:p>
        </w:tc>
      </w:tr>
      <w:tr w:rsidR="000A5A2B" w:rsidTr="00BD129D">
        <w:tc>
          <w:tcPr>
            <w:tcW w:w="9582" w:type="dxa"/>
          </w:tcPr>
          <w:p w:rsidR="008423E4" w:rsidRPr="00A8133F" w:rsidRDefault="00C54FDA" w:rsidP="00A35D70">
            <w:pPr>
              <w:rPr>
                <w:b/>
              </w:rPr>
            </w:pPr>
            <w:r w:rsidRPr="009C1E9A">
              <w:rPr>
                <w:b/>
                <w:u w:val="single"/>
              </w:rPr>
              <w:t>RULEMAKING A</w:t>
            </w:r>
            <w:r w:rsidRPr="009C1E9A">
              <w:rPr>
                <w:b/>
                <w:u w:val="single"/>
              </w:rPr>
              <w:t>UTHORITY</w:t>
            </w:r>
            <w:r>
              <w:rPr>
                <w:b/>
              </w:rPr>
              <w:t xml:space="preserve"> </w:t>
            </w:r>
          </w:p>
          <w:p w:rsidR="008423E4" w:rsidRDefault="00C54FDA" w:rsidP="00A35D70"/>
          <w:p w:rsidR="00C3623E" w:rsidRDefault="00C54FDA" w:rsidP="00A35D70">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C54FDA" w:rsidP="00A35D70">
            <w:pPr>
              <w:rPr>
                <w:b/>
              </w:rPr>
            </w:pPr>
          </w:p>
        </w:tc>
      </w:tr>
      <w:tr w:rsidR="000A5A2B" w:rsidTr="00BD129D">
        <w:tc>
          <w:tcPr>
            <w:tcW w:w="9582" w:type="dxa"/>
          </w:tcPr>
          <w:p w:rsidR="008423E4" w:rsidRPr="00A8133F" w:rsidRDefault="00C54FDA" w:rsidP="00A35D70">
            <w:pPr>
              <w:rPr>
                <w:b/>
              </w:rPr>
            </w:pPr>
            <w:r w:rsidRPr="009C1E9A">
              <w:rPr>
                <w:b/>
                <w:u w:val="single"/>
              </w:rPr>
              <w:t>ANALYSIS</w:t>
            </w:r>
            <w:r>
              <w:rPr>
                <w:b/>
              </w:rPr>
              <w:t xml:space="preserve"> </w:t>
            </w:r>
          </w:p>
          <w:p w:rsidR="008423E4" w:rsidRDefault="00C54FDA" w:rsidP="00A35D70"/>
          <w:p w:rsidR="008423E4" w:rsidRDefault="00C54FDA" w:rsidP="00A35D70">
            <w:pPr>
              <w:pStyle w:val="Header"/>
              <w:tabs>
                <w:tab w:val="left" w:pos="1545"/>
              </w:tabs>
              <w:jc w:val="both"/>
            </w:pPr>
            <w:r>
              <w:t>C.S.</w:t>
            </w:r>
            <w:r>
              <w:t>H.B. 923 amends the Property Code to require a</w:t>
            </w:r>
            <w:r>
              <w:t xml:space="preserve"> </w:t>
            </w:r>
            <w:r w:rsidRPr="0055566E">
              <w:t xml:space="preserve">property owners' </w:t>
            </w:r>
            <w:r w:rsidRPr="0055566E">
              <w:t>association board</w:t>
            </w:r>
            <w:r>
              <w:t xml:space="preserve"> to </w:t>
            </w:r>
            <w:r w:rsidRPr="0055566E">
              <w:t>adopt a policy regarding the enforcement of fines assessed by the property owners' association</w:t>
            </w:r>
            <w:r>
              <w:t xml:space="preserve"> and to</w:t>
            </w:r>
            <w:r>
              <w:t xml:space="preserve"> require such a policy to disclose each type of violation for which the board </w:t>
            </w:r>
            <w:r>
              <w:t>may</w:t>
            </w:r>
            <w:r>
              <w:t xml:space="preserve"> assess a fine, the amount of the fine for each type </w:t>
            </w:r>
            <w:r>
              <w:t xml:space="preserve">of violation, and pertinent information regarding hearings </w:t>
            </w:r>
            <w:r>
              <w:t xml:space="preserve">held </w:t>
            </w:r>
            <w:r>
              <w:t>before the board</w:t>
            </w:r>
            <w:r>
              <w:t xml:space="preserve"> or a committee appointed by the board for purposes of discussing and resolving a violation</w:t>
            </w:r>
            <w:r>
              <w:t xml:space="preserve">. The bill requires </w:t>
            </w:r>
            <w:r>
              <w:t xml:space="preserve">the amount of </w:t>
            </w:r>
            <w:r>
              <w:t xml:space="preserve">such a </w:t>
            </w:r>
            <w:r>
              <w:t xml:space="preserve">fine to be </w:t>
            </w:r>
            <w:r w:rsidRPr="00C3623E">
              <w:t xml:space="preserve">reasonable in the context of the </w:t>
            </w:r>
            <w:r w:rsidRPr="00C3623E">
              <w:t>nature and frequency of the violation and the effect of the violation on the subdivision as a whole.</w:t>
            </w:r>
            <w:r>
              <w:t xml:space="preserve"> The bill requires </w:t>
            </w:r>
            <w:r>
              <w:t xml:space="preserve">each property owners' </w:t>
            </w:r>
            <w:r>
              <w:t>association</w:t>
            </w:r>
            <w:r>
              <w:t xml:space="preserve"> to file a copy of </w:t>
            </w:r>
            <w:r>
              <w:t>the</w:t>
            </w:r>
            <w:r>
              <w:t xml:space="preserve"> association's</w:t>
            </w:r>
            <w:r>
              <w:t xml:space="preserve"> </w:t>
            </w:r>
            <w:r>
              <w:t xml:space="preserve">adopted </w:t>
            </w:r>
            <w:r>
              <w:t xml:space="preserve">policy and each subsequent amendment with the county clerk </w:t>
            </w:r>
            <w:r>
              <w:t xml:space="preserve">of each county in which the subdivision is located and to provide a copy of the policy to an owner of each property in the subdivision by </w:t>
            </w:r>
            <w:r>
              <w:t xml:space="preserve">either </w:t>
            </w:r>
            <w:r>
              <w:t>posting the policy on a website maintained by the association or by annually sending a copy of the policy, sepa</w:t>
            </w:r>
            <w:r>
              <w:t>rately or included in routine communication from the association to property owners</w:t>
            </w:r>
            <w:r>
              <w:t xml:space="preserve">, </w:t>
            </w:r>
            <w:r>
              <w:t xml:space="preserve">by </w:t>
            </w:r>
            <w:r>
              <w:t>one of the</w:t>
            </w:r>
            <w:r>
              <w:t xml:space="preserve"> method</w:t>
            </w:r>
            <w:r>
              <w:t>s</w:t>
            </w:r>
            <w:r>
              <w:t xml:space="preserve"> of delivery specified by the bill</w:t>
            </w:r>
            <w:r>
              <w:t>.</w:t>
            </w:r>
          </w:p>
          <w:p w:rsidR="008423E4" w:rsidRPr="00835628" w:rsidRDefault="00C54FDA" w:rsidP="00A35D70">
            <w:pPr>
              <w:rPr>
                <w:b/>
              </w:rPr>
            </w:pPr>
          </w:p>
        </w:tc>
      </w:tr>
      <w:tr w:rsidR="000A5A2B" w:rsidTr="00BD129D">
        <w:tc>
          <w:tcPr>
            <w:tcW w:w="9582" w:type="dxa"/>
          </w:tcPr>
          <w:p w:rsidR="008423E4" w:rsidRPr="00A8133F" w:rsidRDefault="00C54FDA" w:rsidP="00A35D70">
            <w:pPr>
              <w:rPr>
                <w:b/>
              </w:rPr>
            </w:pPr>
            <w:r w:rsidRPr="009C1E9A">
              <w:rPr>
                <w:b/>
                <w:u w:val="single"/>
              </w:rPr>
              <w:t>EFFECTIVE DATE</w:t>
            </w:r>
            <w:r>
              <w:rPr>
                <w:b/>
              </w:rPr>
              <w:t xml:space="preserve"> </w:t>
            </w:r>
          </w:p>
          <w:p w:rsidR="008423E4" w:rsidRDefault="00C54FDA" w:rsidP="00A35D70"/>
          <w:p w:rsidR="008423E4" w:rsidRPr="003624F2" w:rsidRDefault="00C54FDA" w:rsidP="00A35D70">
            <w:pPr>
              <w:pStyle w:val="Header"/>
              <w:tabs>
                <w:tab w:val="clear" w:pos="4320"/>
                <w:tab w:val="clear" w:pos="8640"/>
              </w:tabs>
              <w:jc w:val="both"/>
            </w:pPr>
            <w:r>
              <w:t>September 1, 2017.</w:t>
            </w:r>
          </w:p>
          <w:p w:rsidR="008423E4" w:rsidRPr="00233FDB" w:rsidRDefault="00C54FDA" w:rsidP="00A35D70">
            <w:pPr>
              <w:rPr>
                <w:b/>
              </w:rPr>
            </w:pPr>
          </w:p>
        </w:tc>
      </w:tr>
      <w:tr w:rsidR="000A5A2B" w:rsidTr="00BD129D">
        <w:tc>
          <w:tcPr>
            <w:tcW w:w="9582" w:type="dxa"/>
          </w:tcPr>
          <w:p w:rsidR="00BD129D" w:rsidRDefault="00C54FDA" w:rsidP="00A35D70">
            <w:pPr>
              <w:jc w:val="both"/>
              <w:rPr>
                <w:b/>
                <w:u w:val="single"/>
              </w:rPr>
            </w:pPr>
            <w:r>
              <w:rPr>
                <w:b/>
                <w:u w:val="single"/>
              </w:rPr>
              <w:t>COMPARISON OF ORIGINAL AND SUBSTITUTE</w:t>
            </w:r>
          </w:p>
          <w:p w:rsidR="00131316" w:rsidRDefault="00C54FDA" w:rsidP="00A35D70">
            <w:pPr>
              <w:jc w:val="both"/>
            </w:pPr>
          </w:p>
          <w:p w:rsidR="00131316" w:rsidRDefault="00C54FDA" w:rsidP="00A35D70">
            <w:pPr>
              <w:jc w:val="both"/>
            </w:pPr>
            <w:r>
              <w:t xml:space="preserve">While C.S.H.B. 923 may differ from </w:t>
            </w:r>
            <w:r>
              <w:t>the original in minor or nonsubstantive ways, the following comparison is organized and formatted in a manner that indicates the substantial differences between the introduced and committee substitute versions of the bill.</w:t>
            </w:r>
          </w:p>
          <w:p w:rsidR="00131316" w:rsidRPr="00C74F8A" w:rsidRDefault="00C54FDA" w:rsidP="00A35D70">
            <w:pPr>
              <w:jc w:val="both"/>
            </w:pPr>
          </w:p>
        </w:tc>
      </w:tr>
      <w:tr w:rsidR="000A5A2B" w:rsidTr="00BD129D">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0A5A2B" w:rsidTr="00C74F8A">
              <w:trPr>
                <w:cantSplit/>
                <w:tblHeader/>
              </w:trPr>
              <w:tc>
                <w:tcPr>
                  <w:tcW w:w="4680" w:type="dxa"/>
                  <w:tcMar>
                    <w:bottom w:w="188" w:type="dxa"/>
                  </w:tcMar>
                </w:tcPr>
                <w:p w:rsidR="00BD129D" w:rsidRDefault="00C54FDA" w:rsidP="00A35D70">
                  <w:pPr>
                    <w:jc w:val="center"/>
                  </w:pPr>
                  <w:r>
                    <w:lastRenderedPageBreak/>
                    <w:t>INTRODUCED</w:t>
                  </w:r>
                </w:p>
              </w:tc>
              <w:tc>
                <w:tcPr>
                  <w:tcW w:w="4680" w:type="dxa"/>
                  <w:tcMar>
                    <w:bottom w:w="188" w:type="dxa"/>
                  </w:tcMar>
                </w:tcPr>
                <w:p w:rsidR="00BD129D" w:rsidRDefault="00C54FDA" w:rsidP="00A35D70">
                  <w:pPr>
                    <w:jc w:val="center"/>
                  </w:pPr>
                  <w:r>
                    <w:t xml:space="preserve">HOUSE COMMITTEE </w:t>
                  </w:r>
                  <w:r>
                    <w:t>SUBSTITUTE</w:t>
                  </w:r>
                </w:p>
              </w:tc>
            </w:tr>
            <w:tr w:rsidR="000A5A2B" w:rsidTr="00C74F8A">
              <w:tc>
                <w:tcPr>
                  <w:tcW w:w="4680" w:type="dxa"/>
                  <w:tcMar>
                    <w:right w:w="360" w:type="dxa"/>
                  </w:tcMar>
                </w:tcPr>
                <w:p w:rsidR="00BD129D" w:rsidRDefault="00C54FDA" w:rsidP="00A35D70">
                  <w:pPr>
                    <w:jc w:val="both"/>
                  </w:pPr>
                  <w:r>
                    <w:t>SECTION 1.  Chapter 209, Property Code, is amended by adding Section 209.0061 to read as follows:</w:t>
                  </w:r>
                </w:p>
                <w:p w:rsidR="0055566E" w:rsidRDefault="00C54FDA" w:rsidP="00A35D70">
                  <w:pPr>
                    <w:jc w:val="both"/>
                    <w:rPr>
                      <w:u w:val="single"/>
                    </w:rPr>
                  </w:pPr>
                  <w:r>
                    <w:rPr>
                      <w:u w:val="single"/>
                    </w:rPr>
                    <w:t xml:space="preserve">Sec. 209.0061.  ASSESSMENT OF FINES.  </w:t>
                  </w:r>
                </w:p>
                <w:p w:rsidR="0055566E" w:rsidRDefault="00C54FDA" w:rsidP="00A35D70">
                  <w:pPr>
                    <w:jc w:val="both"/>
                    <w:rPr>
                      <w:u w:val="single"/>
                    </w:rPr>
                  </w:pPr>
                </w:p>
                <w:p w:rsidR="0055566E" w:rsidRDefault="00C54FDA" w:rsidP="00A35D70">
                  <w:pPr>
                    <w:jc w:val="both"/>
                    <w:rPr>
                      <w:u w:val="single"/>
                    </w:rPr>
                  </w:pPr>
                </w:p>
                <w:p w:rsidR="0055566E" w:rsidRDefault="00C54FDA" w:rsidP="00A35D70">
                  <w:pPr>
                    <w:jc w:val="both"/>
                    <w:rPr>
                      <w:u w:val="single"/>
                    </w:rPr>
                  </w:pPr>
                </w:p>
                <w:p w:rsidR="0055566E" w:rsidRDefault="00C54FDA" w:rsidP="00A35D70">
                  <w:pPr>
                    <w:jc w:val="both"/>
                    <w:rPr>
                      <w:u w:val="single"/>
                    </w:rPr>
                  </w:pPr>
                </w:p>
                <w:p w:rsidR="0055566E" w:rsidRDefault="00C54FDA" w:rsidP="00A35D70">
                  <w:pPr>
                    <w:jc w:val="both"/>
                    <w:rPr>
                      <w:u w:val="single"/>
                    </w:rPr>
                  </w:pPr>
                </w:p>
                <w:p w:rsidR="0055566E" w:rsidRDefault="00C54FDA" w:rsidP="00A35D70">
                  <w:pPr>
                    <w:jc w:val="both"/>
                    <w:rPr>
                      <w:u w:val="single"/>
                    </w:rPr>
                  </w:pPr>
                </w:p>
                <w:p w:rsidR="0055566E" w:rsidRDefault="00C54FDA" w:rsidP="00A35D70">
                  <w:pPr>
                    <w:jc w:val="both"/>
                    <w:rPr>
                      <w:u w:val="single"/>
                    </w:rPr>
                  </w:pPr>
                </w:p>
                <w:p w:rsidR="0055566E" w:rsidRDefault="00C54FDA" w:rsidP="00A35D70">
                  <w:pPr>
                    <w:jc w:val="both"/>
                    <w:rPr>
                      <w:u w:val="single"/>
                    </w:rPr>
                  </w:pPr>
                </w:p>
                <w:p w:rsidR="0055566E" w:rsidRDefault="00C54FDA" w:rsidP="00A35D70">
                  <w:pPr>
                    <w:jc w:val="both"/>
                    <w:rPr>
                      <w:u w:val="single"/>
                    </w:rPr>
                  </w:pPr>
                </w:p>
                <w:p w:rsidR="0055566E" w:rsidRDefault="00C54FDA" w:rsidP="00A35D70">
                  <w:pPr>
                    <w:jc w:val="both"/>
                    <w:rPr>
                      <w:u w:val="single"/>
                    </w:rPr>
                  </w:pPr>
                </w:p>
                <w:p w:rsidR="0055566E" w:rsidRDefault="00C54FDA" w:rsidP="00A35D70">
                  <w:pPr>
                    <w:jc w:val="both"/>
                    <w:rPr>
                      <w:u w:val="single"/>
                    </w:rPr>
                  </w:pPr>
                </w:p>
                <w:p w:rsidR="00BD129D" w:rsidRDefault="00C54FDA" w:rsidP="00A35D70">
                  <w:pPr>
                    <w:jc w:val="both"/>
                  </w:pPr>
                  <w:r>
                    <w:rPr>
                      <w:u w:val="single"/>
                    </w:rPr>
                    <w:t xml:space="preserve">A fine assessed by the property owners' association must be reasonable in the context of the nature and frequency of the violation and the effect of the violation on the subdivision as a whole.  </w:t>
                  </w:r>
                  <w:r w:rsidRPr="0055566E">
                    <w:rPr>
                      <w:highlight w:val="lightGray"/>
                      <w:u w:val="single"/>
                    </w:rPr>
                    <w:t>If the association allows fines for a continuing violation to</w:t>
                  </w:r>
                  <w:r w:rsidRPr="0055566E">
                    <w:rPr>
                      <w:highlight w:val="lightGray"/>
                      <w:u w:val="single"/>
                    </w:rPr>
                    <w:t xml:space="preserve"> accumulate against a lot or an owner, the association must establish a reasonable maximum fine amount for a continuing violation at which point the total fine amount is capped.</w:t>
                  </w:r>
                </w:p>
                <w:p w:rsidR="00BD129D" w:rsidRDefault="00C54FDA" w:rsidP="00A35D70">
                  <w:pPr>
                    <w:jc w:val="both"/>
                  </w:pPr>
                </w:p>
              </w:tc>
              <w:tc>
                <w:tcPr>
                  <w:tcW w:w="4680" w:type="dxa"/>
                  <w:tcMar>
                    <w:left w:w="360" w:type="dxa"/>
                  </w:tcMar>
                </w:tcPr>
                <w:p w:rsidR="00BD129D" w:rsidRDefault="00C54FDA" w:rsidP="00A35D70">
                  <w:pPr>
                    <w:jc w:val="both"/>
                  </w:pPr>
                  <w:r>
                    <w:t>SECTION 1.  Chapter 209, Property Code, is amended by adding Section 209.0061</w:t>
                  </w:r>
                  <w:r>
                    <w:t xml:space="preserve"> to read as follows:</w:t>
                  </w:r>
                </w:p>
                <w:p w:rsidR="00BD129D" w:rsidRPr="0055566E" w:rsidRDefault="00C54FDA" w:rsidP="00A35D70">
                  <w:pPr>
                    <w:jc w:val="both"/>
                    <w:rPr>
                      <w:highlight w:val="lightGray"/>
                    </w:rPr>
                  </w:pPr>
                  <w:r>
                    <w:rPr>
                      <w:u w:val="single"/>
                    </w:rPr>
                    <w:t xml:space="preserve">Sec. 209.0061.  ASSOCIATION POLICY; ASSESSMENT OF FINES.  (a)  </w:t>
                  </w:r>
                  <w:r w:rsidRPr="0055566E">
                    <w:rPr>
                      <w:highlight w:val="lightGray"/>
                      <w:u w:val="single"/>
                    </w:rPr>
                    <w:t>A property owners' association board shall adopt a policy regarding the enforcement of fines assessed by the property owners' association.  The policy must disclose:</w:t>
                  </w:r>
                </w:p>
                <w:p w:rsidR="00BD129D" w:rsidRPr="0055566E" w:rsidRDefault="00C54FDA" w:rsidP="00A35D70">
                  <w:pPr>
                    <w:jc w:val="both"/>
                    <w:rPr>
                      <w:highlight w:val="lightGray"/>
                    </w:rPr>
                  </w:pPr>
                  <w:r w:rsidRPr="0055566E">
                    <w:rPr>
                      <w:highlight w:val="lightGray"/>
                      <w:u w:val="single"/>
                    </w:rPr>
                    <w:t>(1)  e</w:t>
                  </w:r>
                  <w:r w:rsidRPr="0055566E">
                    <w:rPr>
                      <w:highlight w:val="lightGray"/>
                      <w:u w:val="single"/>
                    </w:rPr>
                    <w:t>ach type of violation for which the board may assess a fine;</w:t>
                  </w:r>
                </w:p>
                <w:p w:rsidR="00BD129D" w:rsidRPr="0055566E" w:rsidRDefault="00C54FDA" w:rsidP="00A35D70">
                  <w:pPr>
                    <w:jc w:val="both"/>
                    <w:rPr>
                      <w:highlight w:val="lightGray"/>
                    </w:rPr>
                  </w:pPr>
                  <w:r w:rsidRPr="0055566E">
                    <w:rPr>
                      <w:highlight w:val="lightGray"/>
                      <w:u w:val="single"/>
                    </w:rPr>
                    <w:t>(2)  the amount of the fine for each type of violation; and</w:t>
                  </w:r>
                </w:p>
                <w:p w:rsidR="00BD129D" w:rsidRDefault="00C54FDA" w:rsidP="00A35D70">
                  <w:pPr>
                    <w:jc w:val="both"/>
                  </w:pPr>
                  <w:r w:rsidRPr="0055566E">
                    <w:rPr>
                      <w:highlight w:val="lightGray"/>
                      <w:u w:val="single"/>
                    </w:rPr>
                    <w:t>(3)  pertinent information regarding hearings described by Section 209.007.</w:t>
                  </w:r>
                </w:p>
                <w:p w:rsidR="00BD129D" w:rsidRDefault="00C54FDA" w:rsidP="00A35D70">
                  <w:pPr>
                    <w:jc w:val="both"/>
                  </w:pPr>
                  <w:r>
                    <w:rPr>
                      <w:u w:val="single"/>
                    </w:rPr>
                    <w:t xml:space="preserve">(b)  </w:t>
                  </w:r>
                  <w:r w:rsidRPr="00C74F8A">
                    <w:rPr>
                      <w:highlight w:val="lightGray"/>
                      <w:u w:val="single"/>
                    </w:rPr>
                    <w:t>The amount of</w:t>
                  </w:r>
                  <w:r>
                    <w:rPr>
                      <w:u w:val="single"/>
                    </w:rPr>
                    <w:t xml:space="preserve"> a fine assessed by the property owners' </w:t>
                  </w:r>
                  <w:r>
                    <w:rPr>
                      <w:u w:val="single"/>
                    </w:rPr>
                    <w:t>association must be reasonable in the context of the nature and frequency of the violation and the effect of the violation on the subdivision as a whole.</w:t>
                  </w:r>
                </w:p>
                <w:p w:rsidR="0055566E" w:rsidRDefault="00C54FDA" w:rsidP="00A35D70">
                  <w:pPr>
                    <w:jc w:val="both"/>
                    <w:rPr>
                      <w:u w:val="single"/>
                    </w:rPr>
                  </w:pPr>
                </w:p>
                <w:p w:rsidR="0055566E" w:rsidRDefault="00C54FDA" w:rsidP="00A35D70">
                  <w:pPr>
                    <w:jc w:val="both"/>
                    <w:rPr>
                      <w:u w:val="single"/>
                    </w:rPr>
                  </w:pPr>
                </w:p>
                <w:p w:rsidR="0055566E" w:rsidRDefault="00C54FDA" w:rsidP="00A35D70">
                  <w:pPr>
                    <w:jc w:val="both"/>
                    <w:rPr>
                      <w:u w:val="single"/>
                    </w:rPr>
                  </w:pPr>
                </w:p>
                <w:p w:rsidR="0055566E" w:rsidRDefault="00C54FDA" w:rsidP="00A35D70">
                  <w:pPr>
                    <w:jc w:val="both"/>
                    <w:rPr>
                      <w:u w:val="single"/>
                    </w:rPr>
                  </w:pPr>
                </w:p>
                <w:p w:rsidR="0055566E" w:rsidRDefault="00C54FDA" w:rsidP="00A35D70">
                  <w:pPr>
                    <w:jc w:val="both"/>
                    <w:rPr>
                      <w:u w:val="single"/>
                    </w:rPr>
                  </w:pPr>
                </w:p>
                <w:p w:rsidR="0055566E" w:rsidRDefault="00C54FDA" w:rsidP="00A35D70">
                  <w:pPr>
                    <w:jc w:val="both"/>
                    <w:rPr>
                      <w:u w:val="single"/>
                    </w:rPr>
                  </w:pPr>
                </w:p>
                <w:p w:rsidR="00BD129D" w:rsidRPr="0055566E" w:rsidRDefault="00C54FDA" w:rsidP="00A35D70">
                  <w:pPr>
                    <w:jc w:val="both"/>
                    <w:rPr>
                      <w:highlight w:val="lightGray"/>
                    </w:rPr>
                  </w:pPr>
                  <w:r w:rsidRPr="0055566E">
                    <w:rPr>
                      <w:highlight w:val="lightGray"/>
                      <w:u w:val="single"/>
                    </w:rPr>
                    <w:t>(c)  Each property owners' association shall:</w:t>
                  </w:r>
                </w:p>
                <w:p w:rsidR="00BD129D" w:rsidRPr="0055566E" w:rsidRDefault="00C54FDA" w:rsidP="00A35D70">
                  <w:pPr>
                    <w:jc w:val="both"/>
                    <w:rPr>
                      <w:highlight w:val="lightGray"/>
                    </w:rPr>
                  </w:pPr>
                  <w:r w:rsidRPr="0055566E">
                    <w:rPr>
                      <w:highlight w:val="lightGray"/>
                      <w:u w:val="single"/>
                    </w:rPr>
                    <w:t>(1)  file a copy of the policy adopted under Subse</w:t>
                  </w:r>
                  <w:r w:rsidRPr="0055566E">
                    <w:rPr>
                      <w:highlight w:val="lightGray"/>
                      <w:u w:val="single"/>
                    </w:rPr>
                    <w:t>ction (a), and each subsequent amendment, with the county clerk of each county in which the subdivision is located; and</w:t>
                  </w:r>
                </w:p>
                <w:p w:rsidR="00BD129D" w:rsidRPr="0055566E" w:rsidRDefault="00C54FDA" w:rsidP="00A35D70">
                  <w:pPr>
                    <w:jc w:val="both"/>
                    <w:rPr>
                      <w:highlight w:val="lightGray"/>
                    </w:rPr>
                  </w:pPr>
                  <w:r w:rsidRPr="0055566E">
                    <w:rPr>
                      <w:highlight w:val="lightGray"/>
                      <w:u w:val="single"/>
                    </w:rPr>
                    <w:t>(2)  provide a copy of the policy to an owner of each property in the subdivision by:</w:t>
                  </w:r>
                </w:p>
                <w:p w:rsidR="00BD129D" w:rsidRPr="0055566E" w:rsidRDefault="00C54FDA" w:rsidP="00A35D70">
                  <w:pPr>
                    <w:jc w:val="both"/>
                    <w:rPr>
                      <w:highlight w:val="lightGray"/>
                    </w:rPr>
                  </w:pPr>
                  <w:r w:rsidRPr="0055566E">
                    <w:rPr>
                      <w:highlight w:val="lightGray"/>
                      <w:u w:val="single"/>
                    </w:rPr>
                    <w:t>(A)  posting the policy on an Internet website mai</w:t>
                  </w:r>
                  <w:r w:rsidRPr="0055566E">
                    <w:rPr>
                      <w:highlight w:val="lightGray"/>
                      <w:u w:val="single"/>
                    </w:rPr>
                    <w:t>ntained by the property owners' association; or</w:t>
                  </w:r>
                </w:p>
                <w:p w:rsidR="00BD129D" w:rsidRPr="0055566E" w:rsidRDefault="00C54FDA" w:rsidP="00A35D70">
                  <w:pPr>
                    <w:jc w:val="both"/>
                    <w:rPr>
                      <w:highlight w:val="lightGray"/>
                    </w:rPr>
                  </w:pPr>
                  <w:r w:rsidRPr="0055566E">
                    <w:rPr>
                      <w:highlight w:val="lightGray"/>
                      <w:u w:val="single"/>
                    </w:rPr>
                    <w:t>(B)  annually sending a copy of the policy, separately or included in routine communication from the property owners' association to property owners, by:</w:t>
                  </w:r>
                </w:p>
                <w:p w:rsidR="00BD129D" w:rsidRPr="0055566E" w:rsidRDefault="00C54FDA" w:rsidP="00A35D70">
                  <w:pPr>
                    <w:jc w:val="both"/>
                    <w:rPr>
                      <w:highlight w:val="lightGray"/>
                    </w:rPr>
                  </w:pPr>
                  <w:r w:rsidRPr="0055566E">
                    <w:rPr>
                      <w:highlight w:val="lightGray"/>
                      <w:u w:val="single"/>
                    </w:rPr>
                    <w:t>(i)  hand-delivery to the owner;</w:t>
                  </w:r>
                </w:p>
                <w:p w:rsidR="00BD129D" w:rsidRPr="0055566E" w:rsidRDefault="00C54FDA" w:rsidP="00A35D70">
                  <w:pPr>
                    <w:jc w:val="both"/>
                    <w:rPr>
                      <w:highlight w:val="lightGray"/>
                    </w:rPr>
                  </w:pPr>
                  <w:r w:rsidRPr="0055566E">
                    <w:rPr>
                      <w:highlight w:val="lightGray"/>
                      <w:u w:val="single"/>
                    </w:rPr>
                    <w:t>(ii)  first class mai</w:t>
                  </w:r>
                  <w:r w:rsidRPr="0055566E">
                    <w:rPr>
                      <w:highlight w:val="lightGray"/>
                      <w:u w:val="single"/>
                    </w:rPr>
                    <w:t>l to the owner's last known mailing address; or</w:t>
                  </w:r>
                </w:p>
                <w:p w:rsidR="00BD129D" w:rsidRDefault="00C54FDA" w:rsidP="00A35D70">
                  <w:pPr>
                    <w:jc w:val="both"/>
                  </w:pPr>
                  <w:r w:rsidRPr="0055566E">
                    <w:rPr>
                      <w:highlight w:val="lightGray"/>
                      <w:u w:val="single"/>
                    </w:rPr>
                    <w:t>(iii)  e-mail to an e-mail address provided to the property owners' association by the owner.</w:t>
                  </w:r>
                </w:p>
                <w:p w:rsidR="00BD129D" w:rsidRDefault="00C54FDA" w:rsidP="00A35D70">
                  <w:pPr>
                    <w:jc w:val="both"/>
                  </w:pPr>
                </w:p>
              </w:tc>
            </w:tr>
            <w:tr w:rsidR="000A5A2B" w:rsidTr="00C74F8A">
              <w:tc>
                <w:tcPr>
                  <w:tcW w:w="4680" w:type="dxa"/>
                  <w:tcMar>
                    <w:right w:w="360" w:type="dxa"/>
                  </w:tcMar>
                </w:tcPr>
                <w:p w:rsidR="00BD129D" w:rsidRDefault="00C54FDA" w:rsidP="00A35D70">
                  <w:pPr>
                    <w:jc w:val="both"/>
                  </w:pPr>
                  <w:r>
                    <w:t xml:space="preserve">SECTION 2.  Section 209.0061, Property Code, as added by this Act, applies only to a fine that becomes due on or after the effective date of this Act.  A fine that </w:t>
                  </w:r>
                  <w:r>
                    <w:lastRenderedPageBreak/>
                    <w:t>becomes due before the effective date of this Act is governed by the law in effect immediate</w:t>
                  </w:r>
                  <w:r>
                    <w:t>ly before the effective date of this Act, and that law is continued in effect for that purpose.</w:t>
                  </w:r>
                </w:p>
                <w:p w:rsidR="00BD129D" w:rsidRDefault="00C54FDA" w:rsidP="00A35D70">
                  <w:pPr>
                    <w:jc w:val="both"/>
                  </w:pPr>
                </w:p>
              </w:tc>
              <w:tc>
                <w:tcPr>
                  <w:tcW w:w="4680" w:type="dxa"/>
                  <w:tcMar>
                    <w:left w:w="360" w:type="dxa"/>
                  </w:tcMar>
                </w:tcPr>
                <w:p w:rsidR="00BD129D" w:rsidRDefault="00C54FDA" w:rsidP="00A35D70">
                  <w:pPr>
                    <w:jc w:val="both"/>
                  </w:pPr>
                  <w:r>
                    <w:lastRenderedPageBreak/>
                    <w:t>SECTION 2. Same as introduced version.</w:t>
                  </w:r>
                </w:p>
                <w:p w:rsidR="00BD129D" w:rsidRDefault="00C54FDA" w:rsidP="00A35D70">
                  <w:pPr>
                    <w:jc w:val="both"/>
                  </w:pPr>
                </w:p>
                <w:p w:rsidR="00BD129D" w:rsidRDefault="00C54FDA" w:rsidP="00A35D70">
                  <w:pPr>
                    <w:jc w:val="both"/>
                  </w:pPr>
                </w:p>
              </w:tc>
            </w:tr>
            <w:tr w:rsidR="000A5A2B" w:rsidTr="00C74F8A">
              <w:tc>
                <w:tcPr>
                  <w:tcW w:w="4680" w:type="dxa"/>
                  <w:tcMar>
                    <w:right w:w="360" w:type="dxa"/>
                  </w:tcMar>
                </w:tcPr>
                <w:p w:rsidR="00BD129D" w:rsidRDefault="00C54FDA" w:rsidP="00A35D70">
                  <w:pPr>
                    <w:jc w:val="both"/>
                  </w:pPr>
                  <w:r>
                    <w:lastRenderedPageBreak/>
                    <w:t>SECTION 3.  This Act takes effect September 1, 2017.</w:t>
                  </w:r>
                </w:p>
                <w:p w:rsidR="00BD129D" w:rsidRDefault="00C54FDA" w:rsidP="00A35D70">
                  <w:pPr>
                    <w:jc w:val="both"/>
                  </w:pPr>
                </w:p>
              </w:tc>
              <w:tc>
                <w:tcPr>
                  <w:tcW w:w="4680" w:type="dxa"/>
                  <w:tcMar>
                    <w:left w:w="360" w:type="dxa"/>
                  </w:tcMar>
                </w:tcPr>
                <w:p w:rsidR="00BD129D" w:rsidRDefault="00C54FDA" w:rsidP="00A35D70">
                  <w:pPr>
                    <w:jc w:val="both"/>
                  </w:pPr>
                  <w:r>
                    <w:t>SECTION 3. Same as introduced version.</w:t>
                  </w:r>
                </w:p>
                <w:p w:rsidR="00BD129D" w:rsidRDefault="00C54FDA" w:rsidP="00A35D70">
                  <w:pPr>
                    <w:jc w:val="both"/>
                  </w:pPr>
                </w:p>
                <w:p w:rsidR="00BD129D" w:rsidRDefault="00C54FDA" w:rsidP="00A35D70">
                  <w:pPr>
                    <w:jc w:val="both"/>
                  </w:pPr>
                </w:p>
              </w:tc>
            </w:tr>
          </w:tbl>
          <w:p w:rsidR="00BD129D" w:rsidRDefault="00C54FDA" w:rsidP="00A35D70"/>
          <w:p w:rsidR="00BD129D" w:rsidRPr="009C1E9A" w:rsidRDefault="00C54FDA" w:rsidP="00A35D70">
            <w:pPr>
              <w:rPr>
                <w:b/>
                <w:u w:val="single"/>
              </w:rPr>
            </w:pPr>
          </w:p>
        </w:tc>
      </w:tr>
    </w:tbl>
    <w:p w:rsidR="008423E4" w:rsidRPr="00BE0E75" w:rsidRDefault="00C54FDA" w:rsidP="008423E4">
      <w:pPr>
        <w:spacing w:line="480" w:lineRule="auto"/>
        <w:jc w:val="both"/>
        <w:rPr>
          <w:rFonts w:ascii="Arial" w:hAnsi="Arial"/>
          <w:sz w:val="16"/>
          <w:szCs w:val="16"/>
        </w:rPr>
      </w:pPr>
    </w:p>
    <w:p w:rsidR="004108C3" w:rsidRPr="008423E4" w:rsidRDefault="00C54FDA"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54FDA">
      <w:r>
        <w:separator/>
      </w:r>
    </w:p>
  </w:endnote>
  <w:endnote w:type="continuationSeparator" w:id="0">
    <w:p w:rsidR="00000000" w:rsidRDefault="00C5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D26" w:rsidRDefault="00C54F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A5A2B" w:rsidTr="009C1E9A">
      <w:trPr>
        <w:cantSplit/>
      </w:trPr>
      <w:tc>
        <w:tcPr>
          <w:tcW w:w="0" w:type="pct"/>
        </w:tcPr>
        <w:p w:rsidR="00137D90" w:rsidRDefault="00C54FDA" w:rsidP="009C1E9A">
          <w:pPr>
            <w:pStyle w:val="Footer"/>
            <w:tabs>
              <w:tab w:val="clear" w:pos="8640"/>
              <w:tab w:val="right" w:pos="9360"/>
            </w:tabs>
          </w:pPr>
        </w:p>
      </w:tc>
      <w:tc>
        <w:tcPr>
          <w:tcW w:w="2395" w:type="pct"/>
        </w:tcPr>
        <w:p w:rsidR="00137D90" w:rsidRDefault="00C54FDA" w:rsidP="009C1E9A">
          <w:pPr>
            <w:pStyle w:val="Footer"/>
            <w:tabs>
              <w:tab w:val="clear" w:pos="8640"/>
              <w:tab w:val="right" w:pos="9360"/>
            </w:tabs>
          </w:pPr>
        </w:p>
        <w:p w:rsidR="001A4310" w:rsidRDefault="00C54FDA" w:rsidP="009C1E9A">
          <w:pPr>
            <w:pStyle w:val="Footer"/>
            <w:tabs>
              <w:tab w:val="clear" w:pos="8640"/>
              <w:tab w:val="right" w:pos="9360"/>
            </w:tabs>
          </w:pPr>
        </w:p>
        <w:p w:rsidR="00137D90" w:rsidRDefault="00C54FDA" w:rsidP="009C1E9A">
          <w:pPr>
            <w:pStyle w:val="Footer"/>
            <w:tabs>
              <w:tab w:val="clear" w:pos="8640"/>
              <w:tab w:val="right" w:pos="9360"/>
            </w:tabs>
          </w:pPr>
        </w:p>
      </w:tc>
      <w:tc>
        <w:tcPr>
          <w:tcW w:w="2453" w:type="pct"/>
        </w:tcPr>
        <w:p w:rsidR="00137D90" w:rsidRDefault="00C54FDA" w:rsidP="009C1E9A">
          <w:pPr>
            <w:pStyle w:val="Footer"/>
            <w:tabs>
              <w:tab w:val="clear" w:pos="8640"/>
              <w:tab w:val="right" w:pos="9360"/>
            </w:tabs>
            <w:jc w:val="right"/>
          </w:pPr>
        </w:p>
      </w:tc>
    </w:tr>
    <w:tr w:rsidR="000A5A2B" w:rsidTr="009C1E9A">
      <w:trPr>
        <w:cantSplit/>
      </w:trPr>
      <w:tc>
        <w:tcPr>
          <w:tcW w:w="0" w:type="pct"/>
        </w:tcPr>
        <w:p w:rsidR="00EC379B" w:rsidRDefault="00C54FDA" w:rsidP="009C1E9A">
          <w:pPr>
            <w:pStyle w:val="Footer"/>
            <w:tabs>
              <w:tab w:val="clear" w:pos="8640"/>
              <w:tab w:val="right" w:pos="9360"/>
            </w:tabs>
          </w:pPr>
        </w:p>
      </w:tc>
      <w:tc>
        <w:tcPr>
          <w:tcW w:w="2395" w:type="pct"/>
        </w:tcPr>
        <w:p w:rsidR="00EC379B" w:rsidRPr="009C1E9A" w:rsidRDefault="00C54FDA" w:rsidP="009C1E9A">
          <w:pPr>
            <w:pStyle w:val="Footer"/>
            <w:tabs>
              <w:tab w:val="clear" w:pos="8640"/>
              <w:tab w:val="right" w:pos="9360"/>
            </w:tabs>
            <w:rPr>
              <w:rFonts w:ascii="Shruti" w:hAnsi="Shruti"/>
              <w:sz w:val="22"/>
            </w:rPr>
          </w:pPr>
          <w:r>
            <w:rPr>
              <w:rFonts w:ascii="Shruti" w:hAnsi="Shruti"/>
              <w:sz w:val="22"/>
            </w:rPr>
            <w:t>85R 21526</w:t>
          </w:r>
        </w:p>
      </w:tc>
      <w:tc>
        <w:tcPr>
          <w:tcW w:w="2453" w:type="pct"/>
        </w:tcPr>
        <w:p w:rsidR="00EC379B" w:rsidRDefault="00C54FDA" w:rsidP="009C1E9A">
          <w:pPr>
            <w:pStyle w:val="Footer"/>
            <w:tabs>
              <w:tab w:val="clear" w:pos="8640"/>
              <w:tab w:val="right" w:pos="9360"/>
            </w:tabs>
            <w:jc w:val="right"/>
          </w:pPr>
          <w:r>
            <w:fldChar w:fldCharType="begin"/>
          </w:r>
          <w:r>
            <w:instrText xml:space="preserve"> DOCPROPERTY  OTID  \* MERGEFORMAT </w:instrText>
          </w:r>
          <w:r>
            <w:fldChar w:fldCharType="separate"/>
          </w:r>
          <w:r>
            <w:t>17.94.620</w:t>
          </w:r>
          <w:r>
            <w:fldChar w:fldCharType="end"/>
          </w:r>
        </w:p>
      </w:tc>
    </w:tr>
    <w:tr w:rsidR="000A5A2B" w:rsidTr="009C1E9A">
      <w:trPr>
        <w:cantSplit/>
      </w:trPr>
      <w:tc>
        <w:tcPr>
          <w:tcW w:w="0" w:type="pct"/>
        </w:tcPr>
        <w:p w:rsidR="00EC379B" w:rsidRDefault="00C54FDA" w:rsidP="009C1E9A">
          <w:pPr>
            <w:pStyle w:val="Footer"/>
            <w:tabs>
              <w:tab w:val="clear" w:pos="4320"/>
              <w:tab w:val="clear" w:pos="8640"/>
              <w:tab w:val="left" w:pos="2865"/>
            </w:tabs>
          </w:pPr>
        </w:p>
      </w:tc>
      <w:tc>
        <w:tcPr>
          <w:tcW w:w="2395" w:type="pct"/>
        </w:tcPr>
        <w:p w:rsidR="00EC379B" w:rsidRPr="009C1E9A" w:rsidRDefault="00C54FDA" w:rsidP="009C1E9A">
          <w:pPr>
            <w:pStyle w:val="Footer"/>
            <w:tabs>
              <w:tab w:val="clear" w:pos="4320"/>
              <w:tab w:val="clear" w:pos="8640"/>
              <w:tab w:val="left" w:pos="2865"/>
            </w:tabs>
            <w:rPr>
              <w:rFonts w:ascii="Shruti" w:hAnsi="Shruti"/>
              <w:sz w:val="22"/>
            </w:rPr>
          </w:pPr>
          <w:r>
            <w:rPr>
              <w:rFonts w:ascii="Shruti" w:hAnsi="Shruti"/>
              <w:sz w:val="22"/>
            </w:rPr>
            <w:t>Substitute Document Number: 85R 19742</w:t>
          </w:r>
        </w:p>
      </w:tc>
      <w:tc>
        <w:tcPr>
          <w:tcW w:w="2453" w:type="pct"/>
        </w:tcPr>
        <w:p w:rsidR="00EC379B" w:rsidRDefault="00C54FDA" w:rsidP="006D504F">
          <w:pPr>
            <w:pStyle w:val="Footer"/>
            <w:rPr>
              <w:rStyle w:val="PageNumber"/>
            </w:rPr>
          </w:pPr>
        </w:p>
        <w:p w:rsidR="00EC379B" w:rsidRDefault="00C54FDA" w:rsidP="009C1E9A">
          <w:pPr>
            <w:pStyle w:val="Footer"/>
            <w:tabs>
              <w:tab w:val="clear" w:pos="8640"/>
              <w:tab w:val="right" w:pos="9360"/>
            </w:tabs>
            <w:jc w:val="right"/>
          </w:pPr>
        </w:p>
      </w:tc>
    </w:tr>
    <w:tr w:rsidR="000A5A2B" w:rsidTr="009C1E9A">
      <w:trPr>
        <w:cantSplit/>
        <w:trHeight w:val="323"/>
      </w:trPr>
      <w:tc>
        <w:tcPr>
          <w:tcW w:w="0" w:type="pct"/>
          <w:gridSpan w:val="3"/>
        </w:tcPr>
        <w:p w:rsidR="00EC379B" w:rsidRDefault="00C54FD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54FDA" w:rsidP="009C1E9A">
          <w:pPr>
            <w:pStyle w:val="Footer"/>
            <w:tabs>
              <w:tab w:val="clear" w:pos="8640"/>
              <w:tab w:val="right" w:pos="9360"/>
            </w:tabs>
            <w:jc w:val="center"/>
          </w:pPr>
        </w:p>
      </w:tc>
    </w:tr>
  </w:tbl>
  <w:p w:rsidR="00EC379B" w:rsidRPr="00FF6F72" w:rsidRDefault="00C54FDA"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D26" w:rsidRDefault="00C54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54FDA">
      <w:r>
        <w:separator/>
      </w:r>
    </w:p>
  </w:footnote>
  <w:footnote w:type="continuationSeparator" w:id="0">
    <w:p w:rsidR="00000000" w:rsidRDefault="00C54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D26" w:rsidRDefault="00C54F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D26" w:rsidRDefault="00C54F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D26" w:rsidRDefault="00C54F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A2B"/>
    <w:rsid w:val="000A5A2B"/>
    <w:rsid w:val="00C54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3623E"/>
    <w:rPr>
      <w:sz w:val="16"/>
      <w:szCs w:val="16"/>
    </w:rPr>
  </w:style>
  <w:style w:type="paragraph" w:styleId="CommentText">
    <w:name w:val="annotation text"/>
    <w:basedOn w:val="Normal"/>
    <w:link w:val="CommentTextChar"/>
    <w:rsid w:val="00C3623E"/>
    <w:rPr>
      <w:sz w:val="20"/>
      <w:szCs w:val="20"/>
    </w:rPr>
  </w:style>
  <w:style w:type="character" w:customStyle="1" w:styleId="CommentTextChar">
    <w:name w:val="Comment Text Char"/>
    <w:basedOn w:val="DefaultParagraphFont"/>
    <w:link w:val="CommentText"/>
    <w:rsid w:val="00C3623E"/>
  </w:style>
  <w:style w:type="paragraph" w:styleId="CommentSubject">
    <w:name w:val="annotation subject"/>
    <w:basedOn w:val="CommentText"/>
    <w:next w:val="CommentText"/>
    <w:link w:val="CommentSubjectChar"/>
    <w:rsid w:val="00C3623E"/>
    <w:rPr>
      <w:b/>
      <w:bCs/>
    </w:rPr>
  </w:style>
  <w:style w:type="character" w:customStyle="1" w:styleId="CommentSubjectChar">
    <w:name w:val="Comment Subject Char"/>
    <w:basedOn w:val="CommentTextChar"/>
    <w:link w:val="CommentSubject"/>
    <w:rsid w:val="00C362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3623E"/>
    <w:rPr>
      <w:sz w:val="16"/>
      <w:szCs w:val="16"/>
    </w:rPr>
  </w:style>
  <w:style w:type="paragraph" w:styleId="CommentText">
    <w:name w:val="annotation text"/>
    <w:basedOn w:val="Normal"/>
    <w:link w:val="CommentTextChar"/>
    <w:rsid w:val="00C3623E"/>
    <w:rPr>
      <w:sz w:val="20"/>
      <w:szCs w:val="20"/>
    </w:rPr>
  </w:style>
  <w:style w:type="character" w:customStyle="1" w:styleId="CommentTextChar">
    <w:name w:val="Comment Text Char"/>
    <w:basedOn w:val="DefaultParagraphFont"/>
    <w:link w:val="CommentText"/>
    <w:rsid w:val="00C3623E"/>
  </w:style>
  <w:style w:type="paragraph" w:styleId="CommentSubject">
    <w:name w:val="annotation subject"/>
    <w:basedOn w:val="CommentText"/>
    <w:next w:val="CommentText"/>
    <w:link w:val="CommentSubjectChar"/>
    <w:rsid w:val="00C3623E"/>
    <w:rPr>
      <w:b/>
      <w:bCs/>
    </w:rPr>
  </w:style>
  <w:style w:type="character" w:customStyle="1" w:styleId="CommentSubjectChar">
    <w:name w:val="Comment Subject Char"/>
    <w:basedOn w:val="CommentTextChar"/>
    <w:link w:val="CommentSubject"/>
    <w:rsid w:val="00C362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817</Words>
  <Characters>4233</Characters>
  <Application>Microsoft Office Word</Application>
  <DocSecurity>4</DocSecurity>
  <Lines>154</Lines>
  <Paragraphs>40</Paragraphs>
  <ScaleCrop>false</ScaleCrop>
  <HeadingPairs>
    <vt:vector size="2" baseType="variant">
      <vt:variant>
        <vt:lpstr>Title</vt:lpstr>
      </vt:variant>
      <vt:variant>
        <vt:i4>1</vt:i4>
      </vt:variant>
    </vt:vector>
  </HeadingPairs>
  <TitlesOfParts>
    <vt:vector size="1" baseType="lpstr">
      <vt:lpstr>BA - HB00923 (Committee Report (Substituted))</vt:lpstr>
    </vt:vector>
  </TitlesOfParts>
  <Company>State of Texas</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21526</dc:subject>
  <dc:creator>State of Texas</dc:creator>
  <dc:description>HB 923 by Shaheen-(H)Business &amp; Industry (Substitute Document Number: 85R 19742)</dc:description>
  <cp:lastModifiedBy>Alexander McMillan</cp:lastModifiedBy>
  <cp:revision>2</cp:revision>
  <cp:lastPrinted>2017-04-05T18:32:00Z</cp:lastPrinted>
  <dcterms:created xsi:type="dcterms:W3CDTF">2017-04-06T23:03:00Z</dcterms:created>
  <dcterms:modified xsi:type="dcterms:W3CDTF">2017-04-06T23:03:00Z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17.94.620</vt:lpwstr>
  </property>
</Properties>
</file>