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617C" w:rsidTr="00345119">
        <w:tc>
          <w:tcPr>
            <w:tcW w:w="9576" w:type="dxa"/>
            <w:noWrap/>
          </w:tcPr>
          <w:p w:rsidR="008423E4" w:rsidRPr="0022177D" w:rsidRDefault="009A7E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7EF6" w:rsidP="008423E4">
      <w:pPr>
        <w:jc w:val="center"/>
      </w:pPr>
    </w:p>
    <w:p w:rsidR="008423E4" w:rsidRPr="00B31F0E" w:rsidRDefault="009A7EF6" w:rsidP="008423E4"/>
    <w:p w:rsidR="008423E4" w:rsidRPr="00742794" w:rsidRDefault="009A7E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617C" w:rsidTr="00345119">
        <w:tc>
          <w:tcPr>
            <w:tcW w:w="9576" w:type="dxa"/>
          </w:tcPr>
          <w:p w:rsidR="008423E4" w:rsidRPr="00861995" w:rsidRDefault="009A7EF6" w:rsidP="00345119">
            <w:pPr>
              <w:jc w:val="right"/>
            </w:pPr>
            <w:r>
              <w:t>C.S.H.B. 1023</w:t>
            </w:r>
          </w:p>
        </w:tc>
      </w:tr>
      <w:tr w:rsidR="0031617C" w:rsidTr="00345119">
        <w:tc>
          <w:tcPr>
            <w:tcW w:w="9576" w:type="dxa"/>
          </w:tcPr>
          <w:p w:rsidR="008423E4" w:rsidRPr="00861995" w:rsidRDefault="009A7EF6" w:rsidP="00DE0CCE">
            <w:pPr>
              <w:jc w:val="right"/>
            </w:pPr>
            <w:r>
              <w:t xml:space="preserve">By: </w:t>
            </w:r>
            <w:r>
              <w:t>Simmons</w:t>
            </w:r>
          </w:p>
        </w:tc>
      </w:tr>
      <w:tr w:rsidR="0031617C" w:rsidTr="00345119">
        <w:tc>
          <w:tcPr>
            <w:tcW w:w="9576" w:type="dxa"/>
          </w:tcPr>
          <w:p w:rsidR="008423E4" w:rsidRPr="00861995" w:rsidRDefault="009A7EF6" w:rsidP="00345119">
            <w:pPr>
              <w:jc w:val="right"/>
            </w:pPr>
            <w:r>
              <w:t>Public Education</w:t>
            </w:r>
          </w:p>
        </w:tc>
      </w:tr>
      <w:tr w:rsidR="0031617C" w:rsidTr="00345119">
        <w:tc>
          <w:tcPr>
            <w:tcW w:w="9576" w:type="dxa"/>
          </w:tcPr>
          <w:p w:rsidR="008423E4" w:rsidRDefault="009A7EF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7EF6" w:rsidP="008423E4">
      <w:pPr>
        <w:tabs>
          <w:tab w:val="right" w:pos="9360"/>
        </w:tabs>
      </w:pPr>
    </w:p>
    <w:p w:rsidR="008423E4" w:rsidRDefault="009A7EF6" w:rsidP="008423E4"/>
    <w:p w:rsidR="008423E4" w:rsidRDefault="009A7E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1617C" w:rsidTr="00DE0CCE">
        <w:tc>
          <w:tcPr>
            <w:tcW w:w="9582" w:type="dxa"/>
          </w:tcPr>
          <w:p w:rsidR="008423E4" w:rsidRPr="00A8133F" w:rsidRDefault="009A7EF6" w:rsidP="00047A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7EF6" w:rsidP="00047A38"/>
          <w:p w:rsidR="008423E4" w:rsidRDefault="009A7EF6" w:rsidP="00047A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 w:rsidRPr="00EB025D">
              <w:t xml:space="preserve">no more than one charter can be granted to </w:t>
            </w:r>
            <w:r>
              <w:t>the</w:t>
            </w:r>
            <w:r w:rsidRPr="00EB025D">
              <w:t xml:space="preserve"> charter holder of an open</w:t>
            </w:r>
            <w:r>
              <w:t>-</w:t>
            </w:r>
            <w:r w:rsidRPr="00EB025D">
              <w:t>enrollment charter school</w:t>
            </w:r>
            <w:r>
              <w:t xml:space="preserve">, </w:t>
            </w:r>
            <w:r>
              <w:t>and</w:t>
            </w:r>
            <w:r>
              <w:t xml:space="preserve"> the parties suggest </w:t>
            </w:r>
            <w:r>
              <w:t xml:space="preserve">that this limitation </w:t>
            </w:r>
            <w:r>
              <w:t xml:space="preserve">might discourage </w:t>
            </w:r>
            <w:r w:rsidRPr="00EB025D">
              <w:t xml:space="preserve">charter schools from establishing certain specialized academic programs. </w:t>
            </w:r>
            <w:r>
              <w:t>C.S.</w:t>
            </w:r>
            <w:r>
              <w:t xml:space="preserve">H.B. 1023 seeks to address this issue by </w:t>
            </w:r>
            <w:r>
              <w:t>authorizing</w:t>
            </w:r>
            <w:r w:rsidRPr="00EB025D">
              <w:t xml:space="preserve"> the granting of additional charters for </w:t>
            </w:r>
            <w:r>
              <w:t xml:space="preserve">certain </w:t>
            </w:r>
            <w:r w:rsidRPr="00EB025D">
              <w:t>open</w:t>
            </w:r>
            <w:r>
              <w:t>-</w:t>
            </w:r>
            <w:r w:rsidRPr="00EB025D">
              <w:t>enrollmen</w:t>
            </w:r>
            <w:r w:rsidRPr="00EB025D">
              <w:t>t charter schools.</w:t>
            </w:r>
          </w:p>
          <w:p w:rsidR="008423E4" w:rsidRPr="00E26B13" w:rsidRDefault="009A7EF6" w:rsidP="00047A38">
            <w:pPr>
              <w:rPr>
                <w:b/>
              </w:rPr>
            </w:pPr>
          </w:p>
        </w:tc>
      </w:tr>
      <w:tr w:rsidR="0031617C" w:rsidTr="00DE0CCE">
        <w:tc>
          <w:tcPr>
            <w:tcW w:w="9582" w:type="dxa"/>
          </w:tcPr>
          <w:p w:rsidR="0017725B" w:rsidRDefault="009A7EF6" w:rsidP="00047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7EF6" w:rsidP="00047A38">
            <w:pPr>
              <w:rPr>
                <w:b/>
                <w:u w:val="single"/>
              </w:rPr>
            </w:pPr>
          </w:p>
          <w:p w:rsidR="00614781" w:rsidRPr="00614781" w:rsidRDefault="009A7EF6" w:rsidP="00047A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9A7EF6" w:rsidP="00047A38">
            <w:pPr>
              <w:rPr>
                <w:b/>
                <w:u w:val="single"/>
              </w:rPr>
            </w:pPr>
          </w:p>
        </w:tc>
      </w:tr>
      <w:tr w:rsidR="0031617C" w:rsidTr="00DE0CCE">
        <w:tc>
          <w:tcPr>
            <w:tcW w:w="9582" w:type="dxa"/>
          </w:tcPr>
          <w:p w:rsidR="008423E4" w:rsidRPr="00A8133F" w:rsidRDefault="009A7EF6" w:rsidP="00047A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7EF6" w:rsidP="00047A38"/>
          <w:p w:rsidR="00614781" w:rsidRDefault="009A7EF6" w:rsidP="00047A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A7EF6" w:rsidP="00047A38">
            <w:pPr>
              <w:rPr>
                <w:b/>
              </w:rPr>
            </w:pPr>
          </w:p>
        </w:tc>
      </w:tr>
      <w:tr w:rsidR="0031617C" w:rsidTr="00DE0CCE">
        <w:tc>
          <w:tcPr>
            <w:tcW w:w="9582" w:type="dxa"/>
          </w:tcPr>
          <w:p w:rsidR="008423E4" w:rsidRPr="00A8133F" w:rsidRDefault="009A7EF6" w:rsidP="00047A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7EF6" w:rsidP="00047A38"/>
          <w:p w:rsidR="00F60618" w:rsidRDefault="009A7EF6" w:rsidP="00047A38">
            <w:pPr>
              <w:pStyle w:val="Header"/>
              <w:jc w:val="both"/>
            </w:pPr>
            <w:r>
              <w:t>C.S.</w:t>
            </w:r>
            <w:r>
              <w:t xml:space="preserve">H.B. 1023 amends the Education Code to </w:t>
            </w:r>
            <w:r>
              <w:t xml:space="preserve">require </w:t>
            </w:r>
            <w:r>
              <w:t>the commissioner of education</w:t>
            </w:r>
            <w:r>
              <w:t>, on written request from a charter holder,</w:t>
            </w:r>
            <w:r>
              <w:t xml:space="preserve"> to grant</w:t>
            </w:r>
            <w:r>
              <w:t xml:space="preserve"> a </w:t>
            </w:r>
            <w:r>
              <w:t>charter for an open-enrollment charter school to a charter holder if the additional charter is for a</w:t>
            </w:r>
            <w:r>
              <w:t>n open-enr</w:t>
            </w:r>
            <w:r>
              <w:t>ollment charter school that will continue a campus operated by the charter holder and, as of January 1, 2013, the campus primarily serves students with disabilities or provides a full-time online program eligible for</w:t>
            </w:r>
            <w:r>
              <w:t xml:space="preserve"> foundation school program</w:t>
            </w:r>
            <w:r>
              <w:t xml:space="preserve"> funding. The </w:t>
            </w:r>
            <w:r>
              <w:t>bill requires the commissioner to grant</w:t>
            </w:r>
            <w:r>
              <w:t xml:space="preserve"> such</w:t>
            </w:r>
            <w:r>
              <w:t xml:space="preserve"> a charter not later than the 30th day after the date the commissioner receives </w:t>
            </w:r>
            <w:r>
              <w:t>the</w:t>
            </w:r>
            <w:r>
              <w:t xml:space="preserve"> request</w:t>
            </w:r>
            <w:r>
              <w:t xml:space="preserve"> from a charter holder</w:t>
            </w:r>
            <w:r>
              <w:t>.</w:t>
            </w:r>
          </w:p>
          <w:p w:rsidR="008423E4" w:rsidRPr="00835628" w:rsidRDefault="009A7EF6" w:rsidP="00047A38">
            <w:pPr>
              <w:rPr>
                <w:b/>
              </w:rPr>
            </w:pPr>
          </w:p>
        </w:tc>
      </w:tr>
      <w:tr w:rsidR="0031617C" w:rsidTr="00DE0CCE">
        <w:tc>
          <w:tcPr>
            <w:tcW w:w="9582" w:type="dxa"/>
          </w:tcPr>
          <w:p w:rsidR="008423E4" w:rsidRPr="00A8133F" w:rsidRDefault="009A7EF6" w:rsidP="00047A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7EF6" w:rsidP="00047A38"/>
          <w:p w:rsidR="008423E4" w:rsidRPr="003624F2" w:rsidRDefault="009A7EF6" w:rsidP="00047A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2017.</w:t>
            </w:r>
          </w:p>
          <w:p w:rsidR="008423E4" w:rsidRPr="00233FDB" w:rsidRDefault="009A7EF6" w:rsidP="00047A38">
            <w:pPr>
              <w:rPr>
                <w:b/>
              </w:rPr>
            </w:pPr>
          </w:p>
        </w:tc>
      </w:tr>
      <w:tr w:rsidR="0031617C" w:rsidTr="00DE0CCE">
        <w:tc>
          <w:tcPr>
            <w:tcW w:w="9582" w:type="dxa"/>
          </w:tcPr>
          <w:p w:rsidR="00DE0CCE" w:rsidRDefault="009A7EF6" w:rsidP="00047A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02EE4" w:rsidRDefault="009A7EF6" w:rsidP="00047A38">
            <w:pPr>
              <w:jc w:val="both"/>
            </w:pPr>
          </w:p>
          <w:p w:rsidR="00502EE4" w:rsidRDefault="009A7EF6" w:rsidP="00047A38">
            <w:pPr>
              <w:jc w:val="both"/>
            </w:pPr>
            <w:r>
              <w:t>While C.S.H.B. 1023 may differ from the original in minor or nonsubstantive ways, the following comparison is organized and formatted in a manner that indicates the substantial differences between the introduc</w:t>
            </w:r>
            <w:r>
              <w:t>ed and committee substitute versions of the bill.</w:t>
            </w:r>
          </w:p>
          <w:p w:rsidR="00502EE4" w:rsidRPr="00502EE4" w:rsidRDefault="009A7EF6" w:rsidP="00047A38">
            <w:pPr>
              <w:jc w:val="both"/>
            </w:pPr>
          </w:p>
        </w:tc>
      </w:tr>
      <w:tr w:rsidR="0031617C" w:rsidTr="00DE0CC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1617C" w:rsidTr="00DE0CC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E0CCE" w:rsidRDefault="009A7EF6" w:rsidP="00047A3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E0CCE" w:rsidRDefault="009A7EF6" w:rsidP="00047A3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1617C" w:rsidTr="00DE0CCE">
              <w:tc>
                <w:tcPr>
                  <w:tcW w:w="4673" w:type="dxa"/>
                  <w:tcMar>
                    <w:righ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D, Chapter 12, Education Code, is amended by adding Section 12.1015 to read as follows:</w:t>
                  </w:r>
                </w:p>
                <w:p w:rsidR="00DE0CCE" w:rsidRDefault="009A7EF6" w:rsidP="00047A3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Sec. 12.1015.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ADDITIONAL CHARTER FOR OPEN-ENROLLMENT </w:t>
                  </w:r>
                  <w:r>
                    <w:rPr>
                      <w:u w:val="single"/>
                    </w:rPr>
                    <w:t>CHARTER SCHOOLS ALLOWED.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Notwithstanding Section 12.101(b-3), the commissioner </w:t>
                  </w:r>
                  <w:r w:rsidRPr="00625B48">
                    <w:rPr>
                      <w:highlight w:val="lightGray"/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grant </w:t>
                  </w:r>
                  <w:r w:rsidRPr="006024AD">
                    <w:rPr>
                      <w:highlight w:val="lightGray"/>
                      <w:u w:val="single"/>
                    </w:rPr>
                    <w:t>more than one charter</w:t>
                  </w:r>
                  <w:r>
                    <w:rPr>
                      <w:u w:val="single"/>
                    </w:rPr>
                    <w:t xml:space="preserve"> for an open-enrollment charter school to a charter holder if the additional charter is for an open-enrollment charter school that </w:t>
                  </w:r>
                  <w:r w:rsidRPr="00625B48">
                    <w:rPr>
                      <w:highlight w:val="lightGray"/>
                      <w:u w:val="single"/>
                    </w:rPr>
                    <w:t>has a disti</w:t>
                  </w:r>
                  <w:r w:rsidRPr="00625B48">
                    <w:rPr>
                      <w:highlight w:val="lightGray"/>
                      <w:u w:val="single"/>
                    </w:rPr>
                    <w:t>nct purpose or student population</w:t>
                  </w:r>
                  <w:r>
                    <w:rPr>
                      <w:u w:val="single"/>
                    </w:rPr>
                    <w:t>.</w:t>
                  </w: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  <w:rPr>
                      <w:u w:val="single"/>
                    </w:rPr>
                  </w:pPr>
                </w:p>
                <w:p w:rsidR="00625B48" w:rsidRDefault="009A7EF6" w:rsidP="00047A38">
                  <w:pPr>
                    <w:jc w:val="both"/>
                  </w:pP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The commissioner by rule shall identify various types of open-enrollment charter schools to be used to determine if an open-enrollment charter school has a distinct purpose or will serve a different student</w:t>
                  </w:r>
                  <w:r w:rsidRPr="00625B48">
                    <w:rPr>
                      <w:highlight w:val="lightGray"/>
                      <w:u w:val="single"/>
                    </w:rPr>
                    <w:t xml:space="preserve"> population for purposes of this section. The commissioner may award a charter under Subsection (a) if the commissioner determines the charter will serve a distinct purpose or student population regardless of whether the type of school for which the charte</w:t>
                  </w:r>
                  <w:r w:rsidRPr="00625B48">
                    <w:rPr>
                      <w:highlight w:val="lightGray"/>
                      <w:u w:val="single"/>
                    </w:rPr>
                    <w:t>r is sought has been identified by the commissioner.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(c)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The rules adopted under Subsection (b) must account for the following types of open-enrollment charter schools: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 xml:space="preserve">an open-enrollment charter school that serves a general student population through </w:t>
                  </w:r>
                  <w:r w:rsidRPr="00625B48">
                    <w:rPr>
                      <w:highlight w:val="lightGray"/>
                      <w:u w:val="single"/>
                    </w:rPr>
                    <w:t>a distinctly different educational model;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an alternative education open-enrollment charter school that serves students who: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(A)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have dropped out of school; or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are students at risk of dropping out of school, as defined by Section 29.081;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(3)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 xml:space="preserve">an </w:t>
                  </w:r>
                  <w:r w:rsidRPr="00625B48">
                    <w:rPr>
                      <w:highlight w:val="lightGray"/>
                      <w:u w:val="single"/>
                    </w:rPr>
                    <w:t>open-enrollment charter school operating under a charter granted under Section 12.1014;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(4)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a virtual open-enrollment charter school; and</w:t>
                  </w:r>
                </w:p>
                <w:p w:rsidR="00DE0CCE" w:rsidRDefault="009A7EF6" w:rsidP="00047A38">
                  <w:pPr>
                    <w:jc w:val="both"/>
                  </w:pPr>
                  <w:r w:rsidRPr="00625B48">
                    <w:rPr>
                      <w:highlight w:val="lightGray"/>
                      <w:u w:val="single"/>
                    </w:rPr>
                    <w:t>(5)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 xml:space="preserve">any other open-enrollment charter school that serves a distinct student population, as determined by commissioner </w:t>
                  </w:r>
                  <w:r w:rsidRPr="00625B48">
                    <w:rPr>
                      <w:highlight w:val="lightGray"/>
                      <w:u w:val="single"/>
                    </w:rPr>
                    <w:t>rule.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Subchapter D, Chapter 12, Education Code, is amended by adding Section 12.1015 to read as follows:</w:t>
                  </w:r>
                </w:p>
                <w:p w:rsidR="00DE0CCE" w:rsidRDefault="009A7EF6" w:rsidP="00047A38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Sec. 12.1015.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ADDITIONAL CHARTER FOR OPEN-ENROLLMENT CHARTER SCHOOLS ALLOWED.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Notwithstanding Section 12.101(b-3), </w:t>
                  </w:r>
                  <w:r w:rsidRPr="00625B48">
                    <w:rPr>
                      <w:highlight w:val="lightGray"/>
                      <w:u w:val="single"/>
                    </w:rPr>
                    <w:t>on written request fr</w:t>
                  </w:r>
                  <w:r w:rsidRPr="00625B48">
                    <w:rPr>
                      <w:highlight w:val="lightGray"/>
                      <w:u w:val="single"/>
                    </w:rPr>
                    <w:t>om a charter holder,</w:t>
                  </w:r>
                  <w:r>
                    <w:rPr>
                      <w:u w:val="single"/>
                    </w:rPr>
                    <w:t xml:space="preserve"> the commissioner </w:t>
                  </w:r>
                  <w:r w:rsidRPr="00625B48">
                    <w:rPr>
                      <w:highlight w:val="lightGray"/>
                      <w:u w:val="single"/>
                    </w:rPr>
                    <w:t>shall</w:t>
                  </w:r>
                  <w:r>
                    <w:rPr>
                      <w:u w:val="single"/>
                    </w:rPr>
                    <w:t xml:space="preserve"> grant </w:t>
                  </w:r>
                  <w:r w:rsidRPr="006024AD">
                    <w:rPr>
                      <w:highlight w:val="lightGray"/>
                      <w:u w:val="single"/>
                    </w:rPr>
                    <w:t>a charter</w:t>
                  </w:r>
                  <w:r>
                    <w:rPr>
                      <w:u w:val="single"/>
                    </w:rPr>
                    <w:t xml:space="preserve"> for an open-enrollment charter school to a charter holder if: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additional charter is for an open-enrollment charter school that </w:t>
                  </w:r>
                  <w:r w:rsidRPr="00625B48">
                    <w:rPr>
                      <w:highlight w:val="lightGray"/>
                      <w:u w:val="single"/>
                    </w:rPr>
                    <w:t>will continue a campus operated by the charter holder; and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(2</w:t>
                  </w:r>
                  <w:r w:rsidRPr="00625B48">
                    <w:rPr>
                      <w:highlight w:val="lightGray"/>
                      <w:u w:val="single"/>
                    </w:rPr>
                    <w:t>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as of January 1, 2013, the campus: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(A)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primarily serves students with disabilities under Section 12.1014; or</w:t>
                  </w:r>
                </w:p>
                <w:p w:rsidR="00DE0CCE" w:rsidRPr="00625B48" w:rsidRDefault="009A7EF6" w:rsidP="00047A38">
                  <w:pPr>
                    <w:jc w:val="both"/>
                    <w:rPr>
                      <w:highlight w:val="lightGray"/>
                    </w:rPr>
                  </w:pPr>
                  <w:r w:rsidRPr="00625B48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provides a full-time online program eligible for funding under Section 30A.153.</w:t>
                  </w:r>
                </w:p>
                <w:p w:rsidR="00DE0CCE" w:rsidRDefault="009A7EF6" w:rsidP="00047A38">
                  <w:pPr>
                    <w:jc w:val="both"/>
                  </w:pPr>
                  <w:r w:rsidRPr="00625B48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5B48">
                    <w:rPr>
                      <w:highlight w:val="lightGray"/>
                      <w:u w:val="single"/>
                    </w:rPr>
                    <w:t>The commissioner shall grant a charter under this section</w:t>
                  </w:r>
                  <w:r w:rsidRPr="00625B48">
                    <w:rPr>
                      <w:highlight w:val="lightGray"/>
                      <w:u w:val="single"/>
                    </w:rPr>
                    <w:t xml:space="preserve"> not later than the 30th day after the date the commissioner receives a request under Subsection (a)</w:t>
                  </w:r>
                  <w:r>
                    <w:rPr>
                      <w:u w:val="single"/>
                    </w:rPr>
                    <w:t>.</w:t>
                  </w:r>
                </w:p>
                <w:p w:rsidR="00DE0CCE" w:rsidRDefault="009A7EF6" w:rsidP="00047A38">
                  <w:pPr>
                    <w:jc w:val="both"/>
                  </w:pPr>
                </w:p>
              </w:tc>
            </w:tr>
            <w:tr w:rsidR="0031617C" w:rsidTr="00DE0CCE">
              <w:tc>
                <w:tcPr>
                  <w:tcW w:w="4673" w:type="dxa"/>
                  <w:tcMar>
                    <w:righ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Act applies beginning </w:t>
                  </w:r>
                  <w:r>
                    <w:lastRenderedPageBreak/>
                    <w:t>with the 2017-2018 school year.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 w:rsidRPr="008A2D16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DE0CCE" w:rsidRDefault="009A7EF6" w:rsidP="00047A38">
                  <w:pPr>
                    <w:jc w:val="both"/>
                  </w:pPr>
                </w:p>
              </w:tc>
            </w:tr>
            <w:tr w:rsidR="0031617C" w:rsidTr="00DE0CCE">
              <w:tc>
                <w:tcPr>
                  <w:tcW w:w="4673" w:type="dxa"/>
                  <w:tcMar>
                    <w:righ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>
                    <w:lastRenderedPageBreak/>
                    <w:t>SECTION 3.</w:t>
                  </w:r>
                  <w:r>
                    <w:t xml:space="preserve"> </w:t>
                  </w:r>
                  <w:r>
                    <w:t>This Act takes effect immediately if it rece</w:t>
                  </w:r>
                  <w:r>
                    <w:t>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E0CCE" w:rsidRDefault="009A7EF6" w:rsidP="00047A38">
                  <w:pPr>
                    <w:jc w:val="both"/>
                  </w:pPr>
                  <w:r>
                    <w:t>SECTION 2. Same a</w:t>
                  </w:r>
                  <w:r>
                    <w:t>s introduced version.</w:t>
                  </w:r>
                </w:p>
                <w:p w:rsidR="00DE0CCE" w:rsidRDefault="009A7EF6" w:rsidP="00047A38">
                  <w:pPr>
                    <w:jc w:val="both"/>
                  </w:pPr>
                </w:p>
                <w:p w:rsidR="00DE0CCE" w:rsidRDefault="009A7EF6" w:rsidP="00047A38">
                  <w:pPr>
                    <w:jc w:val="both"/>
                  </w:pPr>
                </w:p>
              </w:tc>
            </w:tr>
          </w:tbl>
          <w:p w:rsidR="00DE0CCE" w:rsidRDefault="009A7EF6" w:rsidP="00047A38"/>
          <w:p w:rsidR="00DE0CCE" w:rsidRPr="009C1E9A" w:rsidRDefault="009A7EF6" w:rsidP="00047A38">
            <w:pPr>
              <w:rPr>
                <w:b/>
                <w:u w:val="single"/>
              </w:rPr>
            </w:pPr>
          </w:p>
        </w:tc>
      </w:tr>
    </w:tbl>
    <w:p w:rsidR="008423E4" w:rsidRPr="00BE0E75" w:rsidRDefault="009A7E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7EF6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7EF6">
      <w:r>
        <w:separator/>
      </w:r>
    </w:p>
  </w:endnote>
  <w:endnote w:type="continuationSeparator" w:id="0">
    <w:p w:rsidR="00000000" w:rsidRDefault="009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617C" w:rsidTr="009C1E9A">
      <w:trPr>
        <w:cantSplit/>
      </w:trPr>
      <w:tc>
        <w:tcPr>
          <w:tcW w:w="0" w:type="pct"/>
        </w:tcPr>
        <w:p w:rsidR="00137D90" w:rsidRDefault="009A7E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7E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7E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7E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7E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17C" w:rsidTr="009C1E9A">
      <w:trPr>
        <w:cantSplit/>
      </w:trPr>
      <w:tc>
        <w:tcPr>
          <w:tcW w:w="0" w:type="pct"/>
        </w:tcPr>
        <w:p w:rsidR="00EC379B" w:rsidRDefault="009A7E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7E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28696</w:t>
          </w:r>
        </w:p>
      </w:tc>
      <w:tc>
        <w:tcPr>
          <w:tcW w:w="2453" w:type="pct"/>
        </w:tcPr>
        <w:p w:rsidR="00EC379B" w:rsidRDefault="009A7E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17.125.368</w:t>
          </w:r>
          <w:r>
            <w:fldChar w:fldCharType="end"/>
          </w:r>
        </w:p>
      </w:tc>
    </w:tr>
    <w:tr w:rsidR="0031617C" w:rsidTr="009C1E9A">
      <w:trPr>
        <w:cantSplit/>
      </w:trPr>
      <w:tc>
        <w:tcPr>
          <w:tcW w:w="0" w:type="pct"/>
        </w:tcPr>
        <w:p w:rsidR="00EC379B" w:rsidRDefault="009A7E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7E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23363</w:t>
          </w:r>
        </w:p>
      </w:tc>
      <w:tc>
        <w:tcPr>
          <w:tcW w:w="2453" w:type="pct"/>
        </w:tcPr>
        <w:p w:rsidR="00EC379B" w:rsidRDefault="009A7EF6" w:rsidP="006D504F">
          <w:pPr>
            <w:pStyle w:val="Footer"/>
            <w:rPr>
              <w:rStyle w:val="PageNumber"/>
            </w:rPr>
          </w:pPr>
        </w:p>
        <w:p w:rsidR="00EC379B" w:rsidRDefault="009A7E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1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7E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7E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7E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7EF6">
      <w:r>
        <w:separator/>
      </w:r>
    </w:p>
  </w:footnote>
  <w:footnote w:type="continuationSeparator" w:id="0">
    <w:p w:rsidR="00000000" w:rsidRDefault="009A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359"/>
    <w:multiLevelType w:val="hybridMultilevel"/>
    <w:tmpl w:val="3E6C1FE2"/>
    <w:lvl w:ilvl="0" w:tplc="4ABC6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2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0C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E4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AB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C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5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6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E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C"/>
    <w:rsid w:val="0031617C"/>
    <w:rsid w:val="009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0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9AE"/>
  </w:style>
  <w:style w:type="paragraph" w:styleId="CommentSubject">
    <w:name w:val="annotation subject"/>
    <w:basedOn w:val="CommentText"/>
    <w:next w:val="CommentText"/>
    <w:link w:val="CommentSubjectChar"/>
    <w:rsid w:val="00D7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0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9AE"/>
  </w:style>
  <w:style w:type="paragraph" w:styleId="CommentSubject">
    <w:name w:val="annotation subject"/>
    <w:basedOn w:val="CommentText"/>
    <w:next w:val="CommentText"/>
    <w:link w:val="CommentSubjectChar"/>
    <w:rsid w:val="00D7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4317</Characters>
  <Application>Microsoft Office Word</Application>
  <DocSecurity>4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HB01023 (Committee Report (Substituted))</vt:lpstr>
    </vt:vector>
  </TitlesOfParts>
  <Company>State of Texas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28696</dc:subject>
  <dc:creator>State of Texas</dc:creator>
  <dc:description>HB 1023 by Simmons-(H)Public Education (Substitute Document Number: 85R 23363)</dc:description>
  <cp:lastModifiedBy>Brianna Weis</cp:lastModifiedBy>
  <cp:revision>2</cp:revision>
  <cp:lastPrinted>2017-05-05T19:55:00Z</cp:lastPrinted>
  <dcterms:created xsi:type="dcterms:W3CDTF">2017-05-08T18:24:00Z</dcterms:created>
  <dcterms:modified xsi:type="dcterms:W3CDTF">2017-05-08T18:24:00Z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17.125.368</vt:lpwstr>
  </property>
</Properties>
</file>