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E7883" w:rsidTr="00345119">
        <w:tc>
          <w:tcPr>
            <w:tcW w:w="9576" w:type="dxa"/>
            <w:noWrap/>
          </w:tcPr>
          <w:p w:rsidR="008423E4" w:rsidRPr="0022177D" w:rsidRDefault="00A56A1A" w:rsidP="00345119">
            <w:pPr>
              <w:pStyle w:val="Heading1"/>
            </w:pPr>
            <w:bookmarkStart w:id="0" w:name="_GoBack"/>
            <w:bookmarkEnd w:id="0"/>
            <w:r w:rsidRPr="00631897">
              <w:t>BILL ANALYSIS</w:t>
            </w:r>
          </w:p>
        </w:tc>
      </w:tr>
    </w:tbl>
    <w:p w:rsidR="008423E4" w:rsidRPr="0022177D" w:rsidRDefault="00A56A1A" w:rsidP="008423E4">
      <w:pPr>
        <w:jc w:val="center"/>
      </w:pPr>
    </w:p>
    <w:p w:rsidR="008423E4" w:rsidRPr="00B31F0E" w:rsidRDefault="00A56A1A" w:rsidP="008423E4"/>
    <w:p w:rsidR="008423E4" w:rsidRPr="00742794" w:rsidRDefault="00A56A1A" w:rsidP="008423E4">
      <w:pPr>
        <w:tabs>
          <w:tab w:val="right" w:pos="9360"/>
        </w:tabs>
      </w:pPr>
    </w:p>
    <w:tbl>
      <w:tblPr>
        <w:tblW w:w="0" w:type="auto"/>
        <w:tblLayout w:type="fixed"/>
        <w:tblLook w:val="01E0" w:firstRow="1" w:lastRow="1" w:firstColumn="1" w:lastColumn="1" w:noHBand="0" w:noVBand="0"/>
      </w:tblPr>
      <w:tblGrid>
        <w:gridCol w:w="9576"/>
      </w:tblGrid>
      <w:tr w:rsidR="002E7883" w:rsidTr="00345119">
        <w:tc>
          <w:tcPr>
            <w:tcW w:w="9576" w:type="dxa"/>
          </w:tcPr>
          <w:p w:rsidR="008423E4" w:rsidRPr="00861995" w:rsidRDefault="00A56A1A" w:rsidP="00345119">
            <w:pPr>
              <w:jc w:val="right"/>
            </w:pPr>
            <w:r>
              <w:t>C.S.H.B. 1092</w:t>
            </w:r>
          </w:p>
        </w:tc>
      </w:tr>
      <w:tr w:rsidR="002E7883" w:rsidTr="00345119">
        <w:tc>
          <w:tcPr>
            <w:tcW w:w="9576" w:type="dxa"/>
          </w:tcPr>
          <w:p w:rsidR="008423E4" w:rsidRPr="00861995" w:rsidRDefault="00A56A1A" w:rsidP="00BC56AA">
            <w:pPr>
              <w:jc w:val="right"/>
            </w:pPr>
            <w:r>
              <w:t xml:space="preserve">By: </w:t>
            </w:r>
            <w:r>
              <w:t>Oliverson</w:t>
            </w:r>
          </w:p>
        </w:tc>
      </w:tr>
      <w:tr w:rsidR="002E7883" w:rsidTr="00345119">
        <w:tc>
          <w:tcPr>
            <w:tcW w:w="9576" w:type="dxa"/>
          </w:tcPr>
          <w:p w:rsidR="008423E4" w:rsidRPr="00861995" w:rsidRDefault="00A56A1A" w:rsidP="00345119">
            <w:pPr>
              <w:jc w:val="right"/>
            </w:pPr>
            <w:r>
              <w:t>Public Health</w:t>
            </w:r>
          </w:p>
        </w:tc>
      </w:tr>
      <w:tr w:rsidR="002E7883" w:rsidTr="00345119">
        <w:tc>
          <w:tcPr>
            <w:tcW w:w="9576" w:type="dxa"/>
          </w:tcPr>
          <w:p w:rsidR="008423E4" w:rsidRDefault="00A56A1A" w:rsidP="00345119">
            <w:pPr>
              <w:jc w:val="right"/>
            </w:pPr>
            <w:r>
              <w:t>Committee Report (Substituted)</w:t>
            </w:r>
          </w:p>
        </w:tc>
      </w:tr>
    </w:tbl>
    <w:p w:rsidR="008423E4" w:rsidRDefault="00A56A1A" w:rsidP="008423E4">
      <w:pPr>
        <w:tabs>
          <w:tab w:val="right" w:pos="9360"/>
        </w:tabs>
      </w:pPr>
    </w:p>
    <w:p w:rsidR="008423E4" w:rsidRDefault="00A56A1A" w:rsidP="008423E4"/>
    <w:p w:rsidR="008423E4" w:rsidRDefault="00A56A1A" w:rsidP="008423E4"/>
    <w:tbl>
      <w:tblPr>
        <w:tblW w:w="0" w:type="auto"/>
        <w:tblCellMar>
          <w:left w:w="115" w:type="dxa"/>
          <w:right w:w="115" w:type="dxa"/>
        </w:tblCellMar>
        <w:tblLook w:val="01E0" w:firstRow="1" w:lastRow="1" w:firstColumn="1" w:lastColumn="1" w:noHBand="0" w:noVBand="0"/>
      </w:tblPr>
      <w:tblGrid>
        <w:gridCol w:w="9582"/>
      </w:tblGrid>
      <w:tr w:rsidR="002E7883" w:rsidTr="00BC56AA">
        <w:tc>
          <w:tcPr>
            <w:tcW w:w="9582" w:type="dxa"/>
          </w:tcPr>
          <w:p w:rsidR="008423E4" w:rsidRPr="00A8133F" w:rsidRDefault="00A56A1A" w:rsidP="00CA32FB">
            <w:pPr>
              <w:rPr>
                <w:b/>
              </w:rPr>
            </w:pPr>
            <w:r w:rsidRPr="009C1E9A">
              <w:rPr>
                <w:b/>
                <w:u w:val="single"/>
              </w:rPr>
              <w:t>BACKGROUND AND PURPOSE</w:t>
            </w:r>
            <w:r>
              <w:rPr>
                <w:b/>
              </w:rPr>
              <w:t xml:space="preserve"> </w:t>
            </w:r>
          </w:p>
          <w:p w:rsidR="008423E4" w:rsidRDefault="00A56A1A" w:rsidP="00CA32FB"/>
          <w:p w:rsidR="008423E4" w:rsidRDefault="00A56A1A" w:rsidP="00CA32FB">
            <w:pPr>
              <w:pStyle w:val="Header"/>
              <w:jc w:val="both"/>
            </w:pPr>
            <w:r>
              <w:t>Interested parties have expressed concerns regarding</w:t>
            </w:r>
            <w:r>
              <w:t xml:space="preserve"> </w:t>
            </w:r>
            <w:r>
              <w:t xml:space="preserve">the </w:t>
            </w:r>
            <w:r>
              <w:t>donat</w:t>
            </w:r>
            <w:r>
              <w:t>ion of</w:t>
            </w:r>
            <w:r>
              <w:t xml:space="preserve"> a decedent's </w:t>
            </w:r>
            <w:r>
              <w:t xml:space="preserve">body or </w:t>
            </w:r>
            <w:r>
              <w:t>organs</w:t>
            </w:r>
            <w:r>
              <w:t xml:space="preserve"> by a hospital administrator</w:t>
            </w:r>
            <w:r>
              <w:t xml:space="preserve"> and certain other persons</w:t>
            </w:r>
            <w:r>
              <w:t xml:space="preserve"> in the absence of directives</w:t>
            </w:r>
            <w:r>
              <w:t>.</w:t>
            </w:r>
            <w:r>
              <w:t xml:space="preserve"> </w:t>
            </w:r>
            <w:r>
              <w:t>C.S.</w:t>
            </w:r>
            <w:r>
              <w:t>H</w:t>
            </w:r>
            <w:r>
              <w:t>.</w:t>
            </w:r>
            <w:r>
              <w:t>B</w:t>
            </w:r>
            <w:r>
              <w:t>.</w:t>
            </w:r>
            <w:r>
              <w:t xml:space="preserve"> 1092 </w:t>
            </w:r>
            <w:r>
              <w:t>seeks to address this concern by</w:t>
            </w:r>
            <w:r>
              <w:t xml:space="preserve"> remov</w:t>
            </w:r>
            <w:r>
              <w:t>ing</w:t>
            </w:r>
            <w:r>
              <w:t xml:space="preserve"> the </w:t>
            </w:r>
            <w:r>
              <w:t>authority</w:t>
            </w:r>
            <w:r>
              <w:t xml:space="preserve"> of </w:t>
            </w:r>
            <w:r>
              <w:t xml:space="preserve">a </w:t>
            </w:r>
            <w:r>
              <w:t xml:space="preserve">hospital administrator </w:t>
            </w:r>
            <w:r>
              <w:t xml:space="preserve">and certain other persons </w:t>
            </w:r>
            <w:r>
              <w:t xml:space="preserve">to </w:t>
            </w:r>
            <w:r>
              <w:t>make such a donation</w:t>
            </w:r>
            <w:r>
              <w:t xml:space="preserve">. </w:t>
            </w:r>
          </w:p>
          <w:p w:rsidR="00F5227B" w:rsidRPr="00E26B13" w:rsidRDefault="00A56A1A" w:rsidP="00CA32FB">
            <w:pPr>
              <w:pStyle w:val="Header"/>
              <w:jc w:val="both"/>
              <w:rPr>
                <w:b/>
              </w:rPr>
            </w:pPr>
          </w:p>
        </w:tc>
      </w:tr>
      <w:tr w:rsidR="002E7883" w:rsidTr="00BC56AA">
        <w:tc>
          <w:tcPr>
            <w:tcW w:w="9582" w:type="dxa"/>
          </w:tcPr>
          <w:p w:rsidR="0017725B" w:rsidRDefault="00A56A1A" w:rsidP="00CA32FB">
            <w:pPr>
              <w:rPr>
                <w:b/>
                <w:u w:val="single"/>
              </w:rPr>
            </w:pPr>
            <w:r>
              <w:rPr>
                <w:b/>
                <w:u w:val="single"/>
              </w:rPr>
              <w:t>CRIMINAL JUSTICE IMPACT</w:t>
            </w:r>
          </w:p>
          <w:p w:rsidR="0017725B" w:rsidRDefault="00A56A1A" w:rsidP="00CA32FB">
            <w:pPr>
              <w:rPr>
                <w:b/>
                <w:u w:val="single"/>
              </w:rPr>
            </w:pPr>
          </w:p>
          <w:p w:rsidR="00E52F05" w:rsidRPr="00E52F05" w:rsidRDefault="00A56A1A" w:rsidP="00CA32FB">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56A1A" w:rsidP="00CA32FB">
            <w:pPr>
              <w:rPr>
                <w:b/>
                <w:u w:val="single"/>
              </w:rPr>
            </w:pPr>
          </w:p>
        </w:tc>
      </w:tr>
      <w:tr w:rsidR="002E7883" w:rsidTr="00BC56AA">
        <w:tc>
          <w:tcPr>
            <w:tcW w:w="9582" w:type="dxa"/>
          </w:tcPr>
          <w:p w:rsidR="008423E4" w:rsidRPr="00A8133F" w:rsidRDefault="00A56A1A" w:rsidP="00CA32FB">
            <w:pPr>
              <w:rPr>
                <w:b/>
              </w:rPr>
            </w:pPr>
            <w:r w:rsidRPr="009C1E9A">
              <w:rPr>
                <w:b/>
                <w:u w:val="single"/>
              </w:rPr>
              <w:t>RULE</w:t>
            </w:r>
            <w:r w:rsidRPr="009C1E9A">
              <w:rPr>
                <w:b/>
                <w:u w:val="single"/>
              </w:rPr>
              <w:t>MAKING AUTHORITY</w:t>
            </w:r>
            <w:r>
              <w:rPr>
                <w:b/>
              </w:rPr>
              <w:t xml:space="preserve"> </w:t>
            </w:r>
          </w:p>
          <w:p w:rsidR="008423E4" w:rsidRDefault="00A56A1A" w:rsidP="00CA32FB"/>
          <w:p w:rsidR="00E52F05" w:rsidRDefault="00A56A1A" w:rsidP="00CA32F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56A1A" w:rsidP="00CA32FB">
            <w:pPr>
              <w:rPr>
                <w:b/>
              </w:rPr>
            </w:pPr>
          </w:p>
        </w:tc>
      </w:tr>
      <w:tr w:rsidR="002E7883" w:rsidTr="00BC56AA">
        <w:tc>
          <w:tcPr>
            <w:tcW w:w="9582" w:type="dxa"/>
          </w:tcPr>
          <w:p w:rsidR="008423E4" w:rsidRPr="00A8133F" w:rsidRDefault="00A56A1A" w:rsidP="00CA32FB">
            <w:pPr>
              <w:rPr>
                <w:b/>
              </w:rPr>
            </w:pPr>
            <w:r w:rsidRPr="009C1E9A">
              <w:rPr>
                <w:b/>
                <w:u w:val="single"/>
              </w:rPr>
              <w:t>ANALYSIS</w:t>
            </w:r>
            <w:r>
              <w:rPr>
                <w:b/>
              </w:rPr>
              <w:t xml:space="preserve"> </w:t>
            </w:r>
          </w:p>
          <w:p w:rsidR="008423E4" w:rsidRDefault="00A56A1A" w:rsidP="00CA32FB"/>
          <w:p w:rsidR="001A76B9" w:rsidRDefault="00A56A1A" w:rsidP="00CA32FB">
            <w:pPr>
              <w:pStyle w:val="Header"/>
              <w:tabs>
                <w:tab w:val="clear" w:pos="4320"/>
                <w:tab w:val="clear" w:pos="8640"/>
              </w:tabs>
              <w:jc w:val="both"/>
            </w:pPr>
            <w:r>
              <w:t>C.S.H.B. 1092 amends the Health and Safety Code to</w:t>
            </w:r>
            <w:r>
              <w:t xml:space="preserve"> remove </w:t>
            </w:r>
            <w:r>
              <w:t>from</w:t>
            </w:r>
            <w:r>
              <w:t xml:space="preserve"> the</w:t>
            </w:r>
            <w:r>
              <w:t xml:space="preserve"> prioritized list of</w:t>
            </w:r>
            <w:r>
              <w:t xml:space="preserve"> persons authorized to make </w:t>
            </w:r>
            <w:r w:rsidRPr="008A5DFB">
              <w:t>an anatomical gift of a decedent's body or part for the purpose of transplantation, therapy, research, or education</w:t>
            </w:r>
            <w:r>
              <w:t xml:space="preserve"> </w:t>
            </w:r>
            <w:r>
              <w:t>a hospital administrator and a person not otherwise specified in the</w:t>
            </w:r>
            <w:r>
              <w:t xml:space="preserve"> prioritized</w:t>
            </w:r>
            <w:r>
              <w:t xml:space="preserve"> list wh</w:t>
            </w:r>
            <w:r>
              <w:t xml:space="preserve">o has the authority to dispose of </w:t>
            </w:r>
            <w:r>
              <w:t>a</w:t>
            </w:r>
            <w:r>
              <w:t xml:space="preserve"> decedent's body. The bill excludes a person associated with the hospital in possession of a decedent's body from</w:t>
            </w:r>
            <w:r>
              <w:t xml:space="preserve">  </w:t>
            </w:r>
            <w:r>
              <w:t xml:space="preserve"> the</w:t>
            </w:r>
            <w:r>
              <w:t xml:space="preserve"> </w:t>
            </w:r>
            <w:r>
              <w:t>individuals</w:t>
            </w:r>
            <w:r>
              <w:t xml:space="preserve"> who </w:t>
            </w:r>
            <w:r>
              <w:t xml:space="preserve">are authorized to make such an anatomical gift based on the </w:t>
            </w:r>
            <w:r>
              <w:t xml:space="preserve">individual's </w:t>
            </w:r>
            <w:r>
              <w:t>special care</w:t>
            </w:r>
            <w:r>
              <w:t xml:space="preserve"> and concern for </w:t>
            </w:r>
            <w:r>
              <w:t>a</w:t>
            </w:r>
            <w:r>
              <w:t xml:space="preserve"> decedent </w:t>
            </w:r>
            <w:r>
              <w:t>and</w:t>
            </w:r>
            <w:r>
              <w:t xml:space="preserve"> prohibits a</w:t>
            </w:r>
            <w:r w:rsidRPr="00655D56">
              <w:t xml:space="preserve"> procurement organization </w:t>
            </w:r>
            <w:r>
              <w:t xml:space="preserve">from </w:t>
            </w:r>
            <w:r w:rsidRPr="00655D56">
              <w:t>petition</w:t>
            </w:r>
            <w:r>
              <w:t>ing</w:t>
            </w:r>
            <w:r w:rsidRPr="00655D56">
              <w:t xml:space="preserve"> a court to become </w:t>
            </w:r>
            <w:r>
              <w:t>a</w:t>
            </w:r>
            <w:r w:rsidRPr="00655D56">
              <w:t xml:space="preserve"> decedent's guardian or to otherwise be authorized to make an anatomical gift of </w:t>
            </w:r>
            <w:r>
              <w:t>a</w:t>
            </w:r>
            <w:r w:rsidRPr="00655D56">
              <w:t xml:space="preserve"> decedent's body or part.</w:t>
            </w:r>
            <w:r>
              <w:t xml:space="preserve"> </w:t>
            </w:r>
            <w:r>
              <w:t xml:space="preserve">The bill excludes </w:t>
            </w:r>
            <w:r>
              <w:t xml:space="preserve">a </w:t>
            </w:r>
            <w:r w:rsidRPr="000C770D">
              <w:t xml:space="preserve"> procurement organizati</w:t>
            </w:r>
            <w:r w:rsidRPr="000C770D">
              <w:t>on</w:t>
            </w:r>
            <w:r>
              <w:t xml:space="preserve"> </w:t>
            </w:r>
            <w:r>
              <w:t>from the definition of "guardian" for purposes of the Revised Uniform Anatomical Gift Act</w:t>
            </w:r>
            <w:r>
              <w:t xml:space="preserve"> and provides for the exclusion </w:t>
            </w:r>
            <w:r>
              <w:t xml:space="preserve">from that definition </w:t>
            </w:r>
            <w:r>
              <w:t xml:space="preserve">of any person associated with the hospital in possession of the decedent's body other than a person </w:t>
            </w:r>
            <w:r>
              <w:t xml:space="preserve">described by </w:t>
            </w:r>
            <w:r>
              <w:t xml:space="preserve">a </w:t>
            </w:r>
            <w:r>
              <w:t xml:space="preserve">certain </w:t>
            </w:r>
            <w:r>
              <w:t>provision</w:t>
            </w:r>
            <w:r>
              <w:t>.</w:t>
            </w:r>
          </w:p>
          <w:p w:rsidR="008423E4" w:rsidRPr="00835628" w:rsidRDefault="00A56A1A" w:rsidP="00CA32FB">
            <w:pPr>
              <w:rPr>
                <w:b/>
              </w:rPr>
            </w:pPr>
            <w:r>
              <w:rPr>
                <w:b/>
              </w:rPr>
              <w:t xml:space="preserve"> </w:t>
            </w:r>
          </w:p>
        </w:tc>
      </w:tr>
      <w:tr w:rsidR="002E7883" w:rsidTr="00BC56AA">
        <w:tc>
          <w:tcPr>
            <w:tcW w:w="9582" w:type="dxa"/>
          </w:tcPr>
          <w:p w:rsidR="008423E4" w:rsidRPr="00A8133F" w:rsidRDefault="00A56A1A" w:rsidP="00CA32FB">
            <w:pPr>
              <w:rPr>
                <w:b/>
              </w:rPr>
            </w:pPr>
            <w:r w:rsidRPr="009C1E9A">
              <w:rPr>
                <w:b/>
                <w:u w:val="single"/>
              </w:rPr>
              <w:t>EFFECTIVE DATE</w:t>
            </w:r>
            <w:r>
              <w:rPr>
                <w:b/>
              </w:rPr>
              <w:t xml:space="preserve"> </w:t>
            </w:r>
          </w:p>
          <w:p w:rsidR="008423E4" w:rsidRDefault="00A56A1A" w:rsidP="00CA32FB"/>
          <w:p w:rsidR="006D6B1F" w:rsidRDefault="00A56A1A" w:rsidP="00CA32FB">
            <w:pPr>
              <w:pStyle w:val="Header"/>
              <w:tabs>
                <w:tab w:val="clear" w:pos="4320"/>
                <w:tab w:val="clear" w:pos="8640"/>
              </w:tabs>
              <w:jc w:val="both"/>
            </w:pPr>
            <w:r>
              <w:t>On passage, or, if the bill does not receive the necessary vote, September 1, 2017.</w:t>
            </w:r>
          </w:p>
          <w:p w:rsidR="008423E4" w:rsidRPr="00F5227B" w:rsidRDefault="00A56A1A" w:rsidP="00CA32FB">
            <w:pPr>
              <w:pStyle w:val="Header"/>
              <w:tabs>
                <w:tab w:val="clear" w:pos="4320"/>
                <w:tab w:val="clear" w:pos="8640"/>
              </w:tabs>
              <w:jc w:val="both"/>
            </w:pPr>
          </w:p>
        </w:tc>
      </w:tr>
      <w:tr w:rsidR="002E7883" w:rsidTr="00BC56AA">
        <w:tc>
          <w:tcPr>
            <w:tcW w:w="9582" w:type="dxa"/>
          </w:tcPr>
          <w:p w:rsidR="00BC56AA" w:rsidRDefault="00A56A1A" w:rsidP="00CA32FB">
            <w:pPr>
              <w:jc w:val="both"/>
              <w:rPr>
                <w:b/>
                <w:u w:val="single"/>
              </w:rPr>
            </w:pPr>
            <w:r>
              <w:rPr>
                <w:b/>
                <w:u w:val="single"/>
              </w:rPr>
              <w:t>COMPARISON OF ORIGINAL AND SUBSTITUTE</w:t>
            </w:r>
          </w:p>
          <w:p w:rsidR="00655D56" w:rsidRDefault="00A56A1A" w:rsidP="00CA32FB">
            <w:pPr>
              <w:jc w:val="both"/>
            </w:pPr>
          </w:p>
          <w:p w:rsidR="00655D56" w:rsidRDefault="00A56A1A" w:rsidP="00CA32FB">
            <w:pPr>
              <w:jc w:val="both"/>
            </w:pPr>
            <w:r>
              <w:t>While C.S.H.B. 1092 may differ from the original in minor or nonsubstantive w</w:t>
            </w:r>
            <w:r>
              <w:t>ays, the following comparison is organized and formatted in a manner that indicates the substantial differences between the introduced and committee substitute versions of the bill.</w:t>
            </w:r>
          </w:p>
          <w:p w:rsidR="00655D56" w:rsidRPr="00655D56" w:rsidRDefault="00A56A1A" w:rsidP="00CA32FB">
            <w:pPr>
              <w:jc w:val="both"/>
            </w:pPr>
          </w:p>
        </w:tc>
      </w:tr>
      <w:tr w:rsidR="002E7883" w:rsidTr="00BC56A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E7883" w:rsidTr="00BC56AA">
              <w:trPr>
                <w:cantSplit/>
                <w:tblHeader/>
              </w:trPr>
              <w:tc>
                <w:tcPr>
                  <w:tcW w:w="4673" w:type="dxa"/>
                  <w:tcMar>
                    <w:bottom w:w="188" w:type="dxa"/>
                  </w:tcMar>
                </w:tcPr>
                <w:p w:rsidR="00BC56AA" w:rsidRDefault="00A56A1A" w:rsidP="00CA32FB">
                  <w:pPr>
                    <w:jc w:val="center"/>
                  </w:pPr>
                  <w:r>
                    <w:t>INTRODUCED</w:t>
                  </w:r>
                </w:p>
              </w:tc>
              <w:tc>
                <w:tcPr>
                  <w:tcW w:w="4673" w:type="dxa"/>
                  <w:tcMar>
                    <w:bottom w:w="188" w:type="dxa"/>
                  </w:tcMar>
                </w:tcPr>
                <w:p w:rsidR="00BC56AA" w:rsidRDefault="00A56A1A" w:rsidP="00CA32FB">
                  <w:pPr>
                    <w:jc w:val="center"/>
                  </w:pPr>
                  <w:r>
                    <w:t>HOUSE COMMITTEE SUBSTITUTE</w:t>
                  </w:r>
                </w:p>
              </w:tc>
            </w:tr>
            <w:tr w:rsidR="002E7883" w:rsidTr="00BC56AA">
              <w:tc>
                <w:tcPr>
                  <w:tcW w:w="4673" w:type="dxa"/>
                  <w:tcMar>
                    <w:right w:w="360" w:type="dxa"/>
                  </w:tcMar>
                </w:tcPr>
                <w:p w:rsidR="00BC56AA" w:rsidRDefault="00A56A1A" w:rsidP="00CA32FB">
                  <w:pPr>
                    <w:jc w:val="both"/>
                  </w:pPr>
                  <w:r w:rsidRPr="007E2ADF">
                    <w:rPr>
                      <w:highlight w:val="lightGray"/>
                    </w:rPr>
                    <w:lastRenderedPageBreak/>
                    <w:t>No equivalent provision.</w:t>
                  </w:r>
                </w:p>
                <w:p w:rsidR="00BC56AA" w:rsidRDefault="00A56A1A" w:rsidP="00CA32FB">
                  <w:pPr>
                    <w:jc w:val="both"/>
                  </w:pPr>
                </w:p>
              </w:tc>
              <w:tc>
                <w:tcPr>
                  <w:tcW w:w="4673" w:type="dxa"/>
                  <w:tcMar>
                    <w:left w:w="360" w:type="dxa"/>
                  </w:tcMar>
                </w:tcPr>
                <w:p w:rsidR="00BC56AA" w:rsidRDefault="00A56A1A" w:rsidP="00CA32FB">
                  <w:pPr>
                    <w:jc w:val="both"/>
                  </w:pPr>
                  <w:r>
                    <w:t>SECTION</w:t>
                  </w:r>
                  <w:r>
                    <w:t xml:space="preserve"> 1.  Section 692A.002(13), Health and Safety Code, is amended to read as follows:</w:t>
                  </w:r>
                </w:p>
                <w:p w:rsidR="00BC56AA" w:rsidRDefault="00A56A1A" w:rsidP="00CA32FB">
                  <w:pPr>
                    <w:jc w:val="both"/>
                  </w:pPr>
                  <w:r>
                    <w:t>(13)  "Guardian" means a person appointed by a court to make decisions regarding the support, care, education, health, or welfare of an individual. The term does not include</w:t>
                  </w:r>
                  <w:r>
                    <w:rPr>
                      <w:u w:val="single"/>
                    </w:rPr>
                    <w:t>:</w:t>
                  </w:r>
                </w:p>
                <w:p w:rsidR="00BC56AA" w:rsidRDefault="00A56A1A" w:rsidP="00CA32FB">
                  <w:pPr>
                    <w:jc w:val="both"/>
                  </w:pPr>
                  <w:r>
                    <w:rPr>
                      <w:u w:val="single"/>
                    </w:rPr>
                    <w:t>(A)</w:t>
                  </w:r>
                  <w:r>
                    <w:t xml:space="preserve">  a guardian ad litem</w:t>
                  </w:r>
                  <w:r>
                    <w:rPr>
                      <w:u w:val="single"/>
                    </w:rPr>
                    <w:t>;</w:t>
                  </w:r>
                </w:p>
                <w:p w:rsidR="00BC56AA" w:rsidRDefault="00A56A1A" w:rsidP="00CA32FB">
                  <w:pPr>
                    <w:jc w:val="both"/>
                  </w:pPr>
                  <w:r>
                    <w:rPr>
                      <w:u w:val="single"/>
                    </w:rPr>
                    <w:t>(B)  a procurement organization; or</w:t>
                  </w:r>
                </w:p>
                <w:p w:rsidR="00BC56AA" w:rsidRDefault="00A56A1A" w:rsidP="00CA32FB">
                  <w:pPr>
                    <w:jc w:val="both"/>
                  </w:pPr>
                  <w:r>
                    <w:rPr>
                      <w:u w:val="single"/>
                    </w:rPr>
                    <w:t>(C)  any person associated with the hospital in possession of the decedent's body other than a person described by Section 692A.009(2), (3), (4), (5), (6), or (7)</w:t>
                  </w:r>
                  <w:r>
                    <w:t>.</w:t>
                  </w:r>
                </w:p>
              </w:tc>
            </w:tr>
            <w:tr w:rsidR="002E7883" w:rsidTr="00BC56AA">
              <w:tc>
                <w:tcPr>
                  <w:tcW w:w="4673" w:type="dxa"/>
                  <w:tcMar>
                    <w:right w:w="360" w:type="dxa"/>
                  </w:tcMar>
                </w:tcPr>
                <w:p w:rsidR="00BC56AA" w:rsidRDefault="00A56A1A" w:rsidP="00CA32FB">
                  <w:pPr>
                    <w:jc w:val="both"/>
                  </w:pPr>
                  <w:r>
                    <w:t>SECTION 1.  Section 692A.009</w:t>
                  </w:r>
                  <w:r>
                    <w:t>(a), Health and Safety Code, is amended to read as follows:</w:t>
                  </w:r>
                </w:p>
                <w:p w:rsidR="007E2ADF" w:rsidRDefault="00A56A1A" w:rsidP="00CA32FB">
                  <w:pPr>
                    <w:jc w:val="both"/>
                  </w:pPr>
                </w:p>
                <w:p w:rsidR="00BC56AA" w:rsidRDefault="00A56A1A" w:rsidP="00CA32FB">
                  <w:pPr>
                    <w:jc w:val="both"/>
                  </w:pPr>
                  <w:r>
                    <w:t xml:space="preserve">(a)  Subject to Subsections (b) and (c) and unless barred by Section 692A.007 or Section 692A.008, an anatomical gift of a decedent's body or part for the purpose of transplantation, therapy, </w:t>
                  </w:r>
                  <w:r>
                    <w:t>research, or education may be made by any member of the following classes of persons who is reasonably available, in the order of priority listed:</w:t>
                  </w:r>
                </w:p>
                <w:p w:rsidR="00BC56AA" w:rsidRDefault="00A56A1A" w:rsidP="00CA32FB">
                  <w:pPr>
                    <w:jc w:val="both"/>
                  </w:pPr>
                  <w:r>
                    <w:t>(1)  an agent of the decedent at the time of death who could have made an anatomical gift under Section 692A.</w:t>
                  </w:r>
                  <w:r>
                    <w:t>004(2) immediately before the decedent's death;</w:t>
                  </w:r>
                </w:p>
                <w:p w:rsidR="00BC56AA" w:rsidRDefault="00A56A1A" w:rsidP="00CA32FB">
                  <w:pPr>
                    <w:jc w:val="both"/>
                  </w:pPr>
                  <w:r>
                    <w:t>(2)  the spouse of the decedent;</w:t>
                  </w:r>
                </w:p>
                <w:p w:rsidR="00BC56AA" w:rsidRDefault="00A56A1A" w:rsidP="00CA32FB">
                  <w:pPr>
                    <w:jc w:val="both"/>
                  </w:pPr>
                  <w:r>
                    <w:t>(3)  adult children of the decedent;</w:t>
                  </w:r>
                </w:p>
                <w:p w:rsidR="00BC56AA" w:rsidRDefault="00A56A1A" w:rsidP="00CA32FB">
                  <w:pPr>
                    <w:jc w:val="both"/>
                  </w:pPr>
                  <w:r>
                    <w:t>(4)  parents of the decedent;</w:t>
                  </w:r>
                </w:p>
                <w:p w:rsidR="00BC56AA" w:rsidRDefault="00A56A1A" w:rsidP="00CA32FB">
                  <w:pPr>
                    <w:jc w:val="both"/>
                  </w:pPr>
                  <w:r>
                    <w:t>(5)  adult siblings of the decedent;</w:t>
                  </w:r>
                </w:p>
                <w:p w:rsidR="00BC56AA" w:rsidRDefault="00A56A1A" w:rsidP="00CA32FB">
                  <w:pPr>
                    <w:jc w:val="both"/>
                  </w:pPr>
                  <w:r>
                    <w:t>(6)  adult grandchildren of the decedent;</w:t>
                  </w:r>
                </w:p>
                <w:p w:rsidR="00BC56AA" w:rsidRDefault="00A56A1A" w:rsidP="00CA32FB">
                  <w:pPr>
                    <w:jc w:val="both"/>
                  </w:pPr>
                  <w:r>
                    <w:t xml:space="preserve">(7)  grandparents of the </w:t>
                  </w:r>
                  <w:r>
                    <w:t>decedent;</w:t>
                  </w:r>
                </w:p>
                <w:p w:rsidR="00BC56AA" w:rsidRDefault="00A56A1A" w:rsidP="00CA32FB">
                  <w:pPr>
                    <w:jc w:val="both"/>
                  </w:pPr>
                  <w:r>
                    <w:t>(8)  an adult who exhibited special care and concern for the decedent;</w:t>
                  </w:r>
                </w:p>
                <w:p w:rsidR="007E2ADF" w:rsidRDefault="00A56A1A" w:rsidP="00CA32FB">
                  <w:pPr>
                    <w:jc w:val="both"/>
                  </w:pPr>
                </w:p>
                <w:p w:rsidR="007E2ADF" w:rsidRDefault="00A56A1A" w:rsidP="00CA32FB">
                  <w:pPr>
                    <w:jc w:val="both"/>
                  </w:pPr>
                </w:p>
                <w:p w:rsidR="00BC56AA" w:rsidRDefault="00A56A1A" w:rsidP="00CA32FB">
                  <w:pPr>
                    <w:jc w:val="both"/>
                  </w:pPr>
                  <w:r>
                    <w:t xml:space="preserve">(9)  the persons who were acting as the guardians of the person of the decedent at the time of death; </w:t>
                  </w:r>
                  <w:r>
                    <w:rPr>
                      <w:u w:val="single"/>
                    </w:rPr>
                    <w:t>and</w:t>
                  </w:r>
                </w:p>
                <w:p w:rsidR="00BC56AA" w:rsidRDefault="00A56A1A" w:rsidP="00CA32FB">
                  <w:pPr>
                    <w:jc w:val="both"/>
                  </w:pPr>
                  <w:r>
                    <w:t>(10)  [</w:t>
                  </w:r>
                  <w:r>
                    <w:rPr>
                      <w:strike/>
                    </w:rPr>
                    <w:t>the hospital administrator; and</w:t>
                  </w:r>
                </w:p>
                <w:p w:rsidR="00BC56AA" w:rsidRDefault="00A56A1A" w:rsidP="00CA32FB">
                  <w:pPr>
                    <w:jc w:val="both"/>
                  </w:pPr>
                  <w:r w:rsidRPr="007E2ADF">
                    <w:rPr>
                      <w:highlight w:val="lightGray"/>
                    </w:rPr>
                    <w:t>[</w:t>
                  </w:r>
                  <w:r w:rsidRPr="007E2ADF">
                    <w:rPr>
                      <w:strike/>
                      <w:highlight w:val="lightGray"/>
                    </w:rPr>
                    <w:t>(11)</w:t>
                  </w:r>
                  <w:r w:rsidRPr="007E2ADF">
                    <w:rPr>
                      <w:highlight w:val="lightGray"/>
                    </w:rPr>
                    <w:t>]  any other person hav</w:t>
                  </w:r>
                  <w:r w:rsidRPr="007E2ADF">
                    <w:rPr>
                      <w:highlight w:val="lightGray"/>
                    </w:rPr>
                    <w:t>ing the authority to dispose of the decedent's body.</w:t>
                  </w:r>
                </w:p>
                <w:p w:rsidR="00BC56AA" w:rsidRDefault="00A56A1A" w:rsidP="00CA32FB">
                  <w:pPr>
                    <w:jc w:val="both"/>
                  </w:pPr>
                </w:p>
              </w:tc>
              <w:tc>
                <w:tcPr>
                  <w:tcW w:w="4673" w:type="dxa"/>
                  <w:tcMar>
                    <w:left w:w="360" w:type="dxa"/>
                  </w:tcMar>
                </w:tcPr>
                <w:p w:rsidR="00BC56AA" w:rsidRDefault="00A56A1A" w:rsidP="00CA32FB">
                  <w:pPr>
                    <w:jc w:val="both"/>
                  </w:pPr>
                  <w:r>
                    <w:t>SECTION 2.  Section 692A.009, Health and Safety Code, is amended by amending Subsection (a) and adding Subsection (d) to read as follows:</w:t>
                  </w:r>
                </w:p>
                <w:p w:rsidR="00BC56AA" w:rsidRDefault="00A56A1A" w:rsidP="00CA32FB">
                  <w:pPr>
                    <w:jc w:val="both"/>
                  </w:pPr>
                  <w:r>
                    <w:t>(a)  Subject to Subsections (b) and (c) and unless barred by Sec</w:t>
                  </w:r>
                  <w:r>
                    <w:t>tion 692A.007 or Section 692A.008, an anatomical gift of a decedent's body or part for the purpose of transplantation, therapy, research, or education may be made by any member of the following classes of persons who is reasonably available, in the order o</w:t>
                  </w:r>
                  <w:r>
                    <w:t>f priority listed:</w:t>
                  </w:r>
                </w:p>
                <w:p w:rsidR="00BC56AA" w:rsidRDefault="00A56A1A" w:rsidP="00CA32FB">
                  <w:pPr>
                    <w:jc w:val="both"/>
                  </w:pPr>
                  <w:r>
                    <w:t>(1)  an agent of the decedent at the time of death who could have made an anatomical gift under Section 692A.004(2) immediately before the decedent's death;</w:t>
                  </w:r>
                </w:p>
                <w:p w:rsidR="00BC56AA" w:rsidRDefault="00A56A1A" w:rsidP="00CA32FB">
                  <w:pPr>
                    <w:jc w:val="both"/>
                  </w:pPr>
                  <w:r>
                    <w:t>(2)  the spouse of the decedent;</w:t>
                  </w:r>
                </w:p>
                <w:p w:rsidR="00BC56AA" w:rsidRDefault="00A56A1A" w:rsidP="00CA32FB">
                  <w:pPr>
                    <w:jc w:val="both"/>
                  </w:pPr>
                  <w:r>
                    <w:t>(3)  adult children of the decedent;</w:t>
                  </w:r>
                </w:p>
                <w:p w:rsidR="00BC56AA" w:rsidRDefault="00A56A1A" w:rsidP="00CA32FB">
                  <w:pPr>
                    <w:jc w:val="both"/>
                  </w:pPr>
                  <w:r>
                    <w:t>(4)  paren</w:t>
                  </w:r>
                  <w:r>
                    <w:t>ts of the decedent;</w:t>
                  </w:r>
                </w:p>
                <w:p w:rsidR="00BC56AA" w:rsidRDefault="00A56A1A" w:rsidP="00CA32FB">
                  <w:pPr>
                    <w:jc w:val="both"/>
                  </w:pPr>
                  <w:r>
                    <w:t>(5)  adult siblings of the decedent;</w:t>
                  </w:r>
                </w:p>
                <w:p w:rsidR="00BC56AA" w:rsidRDefault="00A56A1A" w:rsidP="00CA32FB">
                  <w:pPr>
                    <w:jc w:val="both"/>
                  </w:pPr>
                  <w:r>
                    <w:t>(6)  adult grandchildren of the decedent;</w:t>
                  </w:r>
                </w:p>
                <w:p w:rsidR="00BC56AA" w:rsidRDefault="00A56A1A" w:rsidP="00CA32FB">
                  <w:pPr>
                    <w:jc w:val="both"/>
                  </w:pPr>
                  <w:r>
                    <w:t>(7)  grandparents of the decedent;</w:t>
                  </w:r>
                </w:p>
                <w:p w:rsidR="00BC56AA" w:rsidRDefault="00A56A1A" w:rsidP="00CA32FB">
                  <w:pPr>
                    <w:jc w:val="both"/>
                  </w:pPr>
                  <w:r>
                    <w:t xml:space="preserve">(8)  an adult who exhibited special care and concern for the decedent </w:t>
                  </w:r>
                  <w:r w:rsidRPr="007E2ADF">
                    <w:rPr>
                      <w:highlight w:val="lightGray"/>
                      <w:u w:val="single"/>
                    </w:rPr>
                    <w:t xml:space="preserve">other than a person associated with the hospital in </w:t>
                  </w:r>
                  <w:r w:rsidRPr="007E2ADF">
                    <w:rPr>
                      <w:highlight w:val="lightGray"/>
                      <w:u w:val="single"/>
                    </w:rPr>
                    <w:t>possession of the decedent's body</w:t>
                  </w:r>
                  <w:r>
                    <w:t xml:space="preserve">; </w:t>
                  </w:r>
                  <w:r>
                    <w:rPr>
                      <w:u w:val="single"/>
                    </w:rPr>
                    <w:t>and</w:t>
                  </w:r>
                </w:p>
                <w:p w:rsidR="00BC56AA" w:rsidRDefault="00A56A1A" w:rsidP="00CA32FB">
                  <w:pPr>
                    <w:jc w:val="both"/>
                  </w:pPr>
                  <w:r>
                    <w:t>(9)  the persons who were acting as the guardians of the person of the decedent at the time of death[</w:t>
                  </w:r>
                  <w:r>
                    <w:rPr>
                      <w:strike/>
                    </w:rPr>
                    <w:t>;</w:t>
                  </w:r>
                </w:p>
                <w:p w:rsidR="00BC56AA" w:rsidRDefault="00A56A1A" w:rsidP="00CA32FB">
                  <w:pPr>
                    <w:jc w:val="both"/>
                  </w:pPr>
                  <w:r>
                    <w:t>[</w:t>
                  </w:r>
                  <w:r>
                    <w:rPr>
                      <w:strike/>
                    </w:rPr>
                    <w:t>(10)  the hospital administrator; and</w:t>
                  </w:r>
                </w:p>
                <w:p w:rsidR="00BC56AA" w:rsidRDefault="00A56A1A" w:rsidP="00CA32FB">
                  <w:pPr>
                    <w:jc w:val="both"/>
                  </w:pPr>
                  <w:r w:rsidRPr="007E2ADF">
                    <w:rPr>
                      <w:highlight w:val="lightGray"/>
                    </w:rPr>
                    <w:t>[</w:t>
                  </w:r>
                  <w:r w:rsidRPr="007E2ADF">
                    <w:rPr>
                      <w:strike/>
                      <w:highlight w:val="lightGray"/>
                    </w:rPr>
                    <w:t xml:space="preserve">(11)  any other person having the authority to dispose of the decedent's </w:t>
                  </w:r>
                  <w:r w:rsidRPr="007E2ADF">
                    <w:rPr>
                      <w:strike/>
                      <w:highlight w:val="lightGray"/>
                    </w:rPr>
                    <w:t>body</w:t>
                  </w:r>
                  <w:r>
                    <w:t>].</w:t>
                  </w:r>
                </w:p>
                <w:p w:rsidR="00DB2062" w:rsidRDefault="00A56A1A" w:rsidP="00CA32FB">
                  <w:pPr>
                    <w:jc w:val="both"/>
                    <w:rPr>
                      <w:highlight w:val="lightGray"/>
                      <w:u w:val="single"/>
                    </w:rPr>
                  </w:pPr>
                </w:p>
                <w:p w:rsidR="00BC56AA" w:rsidRDefault="00A56A1A" w:rsidP="00CA32FB">
                  <w:pPr>
                    <w:jc w:val="both"/>
                  </w:pPr>
                  <w:r w:rsidRPr="007E2ADF">
                    <w:rPr>
                      <w:highlight w:val="lightGray"/>
                      <w:u w:val="single"/>
                    </w:rPr>
                    <w:t>(d)  A procurement organization may not petition a court to become the decedent's guardian or to otherwise be authorized to make an anatomical gift of the decedent's body or part.</w:t>
                  </w:r>
                </w:p>
              </w:tc>
            </w:tr>
            <w:tr w:rsidR="002E7883" w:rsidTr="00BC56AA">
              <w:tc>
                <w:tcPr>
                  <w:tcW w:w="4673" w:type="dxa"/>
                  <w:tcMar>
                    <w:right w:w="360" w:type="dxa"/>
                  </w:tcMar>
                </w:tcPr>
                <w:p w:rsidR="00BC56AA" w:rsidRDefault="00A56A1A" w:rsidP="00CA32FB">
                  <w:pPr>
                    <w:jc w:val="both"/>
                  </w:pPr>
                  <w:r>
                    <w:t xml:space="preserve">SECTION 2.  Section 692A.009(a), Health </w:t>
                  </w:r>
                  <w:r>
                    <w:lastRenderedPageBreak/>
                    <w:t>and Safety Code, as amended</w:t>
                  </w:r>
                  <w:r>
                    <w:t xml:space="preserve"> by this Act, applies only to an anatomical gift made on or after the effective date of this Act.  An anatomical gift made before the effective date of this Act is governed by the law in effect immediately before the effective date of this Act, and that la</w:t>
                  </w:r>
                  <w:r>
                    <w:t>w is continued in effect for that purpose.</w:t>
                  </w:r>
                </w:p>
              </w:tc>
              <w:tc>
                <w:tcPr>
                  <w:tcW w:w="4673" w:type="dxa"/>
                  <w:tcMar>
                    <w:left w:w="360" w:type="dxa"/>
                  </w:tcMar>
                </w:tcPr>
                <w:p w:rsidR="00BC56AA" w:rsidRDefault="00A56A1A" w:rsidP="00CA32FB">
                  <w:pPr>
                    <w:jc w:val="both"/>
                  </w:pPr>
                  <w:r>
                    <w:lastRenderedPageBreak/>
                    <w:t xml:space="preserve">SECTION 3.  </w:t>
                  </w:r>
                  <w:r>
                    <w:t>Substantially the s</w:t>
                  </w:r>
                  <w:r>
                    <w:t xml:space="preserve">ame as </w:t>
                  </w:r>
                  <w:r>
                    <w:lastRenderedPageBreak/>
                    <w:t>introduced version.</w:t>
                  </w:r>
                </w:p>
                <w:p w:rsidR="00BC56AA" w:rsidRDefault="00A56A1A" w:rsidP="00CA32FB">
                  <w:pPr>
                    <w:jc w:val="both"/>
                  </w:pPr>
                </w:p>
              </w:tc>
            </w:tr>
            <w:tr w:rsidR="002E7883" w:rsidTr="00BC56AA">
              <w:tc>
                <w:tcPr>
                  <w:tcW w:w="4673" w:type="dxa"/>
                  <w:tcMar>
                    <w:right w:w="360" w:type="dxa"/>
                  </w:tcMar>
                </w:tcPr>
                <w:p w:rsidR="00BC56AA" w:rsidRDefault="00A56A1A" w:rsidP="00CA32FB">
                  <w:pPr>
                    <w:jc w:val="both"/>
                  </w:pPr>
                  <w:r>
                    <w:lastRenderedPageBreak/>
                    <w:t xml:space="preserve">SECTION 3.  This Act takes effect </w:t>
                  </w:r>
                  <w:r w:rsidRPr="007E2ADF">
                    <w:rPr>
                      <w:highlight w:val="lightGray"/>
                    </w:rPr>
                    <w:t>September 1, 2017.</w:t>
                  </w:r>
                </w:p>
                <w:p w:rsidR="00BC56AA" w:rsidRDefault="00A56A1A" w:rsidP="00CA32FB">
                  <w:pPr>
                    <w:jc w:val="both"/>
                  </w:pPr>
                </w:p>
              </w:tc>
              <w:tc>
                <w:tcPr>
                  <w:tcW w:w="4673" w:type="dxa"/>
                  <w:tcMar>
                    <w:left w:w="360" w:type="dxa"/>
                  </w:tcMar>
                </w:tcPr>
                <w:p w:rsidR="00BC56AA" w:rsidRDefault="00A56A1A" w:rsidP="00CA32FB">
                  <w:pPr>
                    <w:jc w:val="both"/>
                  </w:pPr>
                  <w:r>
                    <w:t xml:space="preserve">SECTION 4.  This Act takes effect </w:t>
                  </w:r>
                  <w:r w:rsidRPr="007E2ADF">
                    <w:rPr>
                      <w:highlight w:val="lightGray"/>
                    </w:rPr>
                    <w:t>immediately if it receives a vote of two-thirds of all the member</w:t>
                  </w:r>
                  <w:r w:rsidRPr="007E2ADF">
                    <w:rPr>
                      <w:highlight w:val="lightGray"/>
                    </w:rPr>
                    <w:t>s elected to each house, as provided by Section 39, Article III, Texas Constitution.  If this Act does not receive the vote necessary for immediate effect, this Act takes effect September 1, 2017.</w:t>
                  </w:r>
                </w:p>
              </w:tc>
            </w:tr>
            <w:tr w:rsidR="002E7883" w:rsidTr="00BC56AA">
              <w:tc>
                <w:tcPr>
                  <w:tcW w:w="4673" w:type="dxa"/>
                  <w:tcMar>
                    <w:right w:w="360" w:type="dxa"/>
                  </w:tcMar>
                </w:tcPr>
                <w:p w:rsidR="00BC56AA" w:rsidRDefault="00A56A1A" w:rsidP="00CA32FB">
                  <w:pPr>
                    <w:jc w:val="both"/>
                  </w:pPr>
                </w:p>
              </w:tc>
              <w:tc>
                <w:tcPr>
                  <w:tcW w:w="4673" w:type="dxa"/>
                  <w:tcMar>
                    <w:left w:w="360" w:type="dxa"/>
                  </w:tcMar>
                </w:tcPr>
                <w:p w:rsidR="00BC56AA" w:rsidRDefault="00A56A1A" w:rsidP="00CA32FB">
                  <w:pPr>
                    <w:jc w:val="both"/>
                  </w:pPr>
                </w:p>
              </w:tc>
            </w:tr>
          </w:tbl>
          <w:p w:rsidR="00BC56AA" w:rsidRDefault="00A56A1A" w:rsidP="00CA32FB"/>
          <w:p w:rsidR="00BC56AA" w:rsidRPr="009C1E9A" w:rsidRDefault="00A56A1A" w:rsidP="00CA32FB">
            <w:pPr>
              <w:rPr>
                <w:b/>
                <w:u w:val="single"/>
              </w:rPr>
            </w:pPr>
          </w:p>
        </w:tc>
      </w:tr>
    </w:tbl>
    <w:p w:rsidR="008423E4" w:rsidRPr="00BE0E75" w:rsidRDefault="00A56A1A" w:rsidP="008423E4">
      <w:pPr>
        <w:spacing w:line="480" w:lineRule="auto"/>
        <w:jc w:val="both"/>
        <w:rPr>
          <w:rFonts w:ascii="Arial" w:hAnsi="Arial"/>
          <w:sz w:val="16"/>
          <w:szCs w:val="16"/>
        </w:rPr>
      </w:pPr>
    </w:p>
    <w:p w:rsidR="004108C3" w:rsidRPr="008423E4" w:rsidRDefault="00A56A1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6A1A">
      <w:r>
        <w:separator/>
      </w:r>
    </w:p>
  </w:endnote>
  <w:endnote w:type="continuationSeparator" w:id="0">
    <w:p w:rsidR="00000000" w:rsidRDefault="00A5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E7883" w:rsidTr="009C1E9A">
      <w:trPr>
        <w:cantSplit/>
      </w:trPr>
      <w:tc>
        <w:tcPr>
          <w:tcW w:w="0" w:type="pct"/>
        </w:tcPr>
        <w:p w:rsidR="00137D90" w:rsidRDefault="00A56A1A" w:rsidP="009C1E9A">
          <w:pPr>
            <w:pStyle w:val="Footer"/>
            <w:tabs>
              <w:tab w:val="clear" w:pos="8640"/>
              <w:tab w:val="right" w:pos="9360"/>
            </w:tabs>
          </w:pPr>
        </w:p>
      </w:tc>
      <w:tc>
        <w:tcPr>
          <w:tcW w:w="2395" w:type="pct"/>
        </w:tcPr>
        <w:p w:rsidR="00137D90" w:rsidRDefault="00A56A1A" w:rsidP="009C1E9A">
          <w:pPr>
            <w:pStyle w:val="Footer"/>
            <w:tabs>
              <w:tab w:val="clear" w:pos="8640"/>
              <w:tab w:val="right" w:pos="9360"/>
            </w:tabs>
          </w:pPr>
        </w:p>
        <w:p w:rsidR="001A4310" w:rsidRDefault="00A56A1A" w:rsidP="009C1E9A">
          <w:pPr>
            <w:pStyle w:val="Footer"/>
            <w:tabs>
              <w:tab w:val="clear" w:pos="8640"/>
              <w:tab w:val="right" w:pos="9360"/>
            </w:tabs>
          </w:pPr>
        </w:p>
        <w:p w:rsidR="00137D90" w:rsidRDefault="00A56A1A" w:rsidP="009C1E9A">
          <w:pPr>
            <w:pStyle w:val="Footer"/>
            <w:tabs>
              <w:tab w:val="clear" w:pos="8640"/>
              <w:tab w:val="right" w:pos="9360"/>
            </w:tabs>
          </w:pPr>
        </w:p>
      </w:tc>
      <w:tc>
        <w:tcPr>
          <w:tcW w:w="2453" w:type="pct"/>
        </w:tcPr>
        <w:p w:rsidR="00137D90" w:rsidRDefault="00A56A1A" w:rsidP="009C1E9A">
          <w:pPr>
            <w:pStyle w:val="Footer"/>
            <w:tabs>
              <w:tab w:val="clear" w:pos="8640"/>
              <w:tab w:val="right" w:pos="9360"/>
            </w:tabs>
            <w:jc w:val="right"/>
          </w:pPr>
        </w:p>
      </w:tc>
    </w:tr>
    <w:tr w:rsidR="002E7883" w:rsidTr="009C1E9A">
      <w:trPr>
        <w:cantSplit/>
      </w:trPr>
      <w:tc>
        <w:tcPr>
          <w:tcW w:w="0" w:type="pct"/>
        </w:tcPr>
        <w:p w:rsidR="00EC379B" w:rsidRDefault="00A56A1A" w:rsidP="009C1E9A">
          <w:pPr>
            <w:pStyle w:val="Footer"/>
            <w:tabs>
              <w:tab w:val="clear" w:pos="8640"/>
              <w:tab w:val="right" w:pos="9360"/>
            </w:tabs>
          </w:pPr>
        </w:p>
      </w:tc>
      <w:tc>
        <w:tcPr>
          <w:tcW w:w="2395" w:type="pct"/>
        </w:tcPr>
        <w:p w:rsidR="00EC379B" w:rsidRPr="009C1E9A" w:rsidRDefault="00A56A1A" w:rsidP="009C1E9A">
          <w:pPr>
            <w:pStyle w:val="Footer"/>
            <w:tabs>
              <w:tab w:val="clear" w:pos="8640"/>
              <w:tab w:val="right" w:pos="9360"/>
            </w:tabs>
            <w:rPr>
              <w:rFonts w:ascii="Shruti" w:hAnsi="Shruti"/>
              <w:sz w:val="22"/>
            </w:rPr>
          </w:pPr>
          <w:r>
            <w:rPr>
              <w:rFonts w:ascii="Shruti" w:hAnsi="Shruti"/>
              <w:sz w:val="22"/>
            </w:rPr>
            <w:t>85R 21623</w:t>
          </w:r>
        </w:p>
      </w:tc>
      <w:tc>
        <w:tcPr>
          <w:tcW w:w="2453" w:type="pct"/>
        </w:tcPr>
        <w:p w:rsidR="00EC379B" w:rsidRDefault="00A56A1A" w:rsidP="009C1E9A">
          <w:pPr>
            <w:pStyle w:val="Footer"/>
            <w:tabs>
              <w:tab w:val="clear" w:pos="8640"/>
              <w:tab w:val="right" w:pos="9360"/>
            </w:tabs>
            <w:jc w:val="right"/>
          </w:pPr>
          <w:r>
            <w:fldChar w:fldCharType="begin"/>
          </w:r>
          <w:r>
            <w:instrText xml:space="preserve"> DOCPROPERTY  OTID  \* MERGEFORMAT </w:instrText>
          </w:r>
          <w:r>
            <w:fldChar w:fldCharType="separate"/>
          </w:r>
          <w:r>
            <w:t>17.95.843</w:t>
          </w:r>
          <w:r>
            <w:fldChar w:fldCharType="end"/>
          </w:r>
        </w:p>
      </w:tc>
    </w:tr>
    <w:tr w:rsidR="002E7883" w:rsidTr="009C1E9A">
      <w:trPr>
        <w:cantSplit/>
      </w:trPr>
      <w:tc>
        <w:tcPr>
          <w:tcW w:w="0" w:type="pct"/>
        </w:tcPr>
        <w:p w:rsidR="00EC379B" w:rsidRDefault="00A56A1A" w:rsidP="009C1E9A">
          <w:pPr>
            <w:pStyle w:val="Footer"/>
            <w:tabs>
              <w:tab w:val="clear" w:pos="4320"/>
              <w:tab w:val="clear" w:pos="8640"/>
              <w:tab w:val="left" w:pos="2865"/>
            </w:tabs>
          </w:pPr>
        </w:p>
      </w:tc>
      <w:tc>
        <w:tcPr>
          <w:tcW w:w="2395" w:type="pct"/>
        </w:tcPr>
        <w:p w:rsidR="00EC379B" w:rsidRPr="009C1E9A" w:rsidRDefault="00A56A1A" w:rsidP="009C1E9A">
          <w:pPr>
            <w:pStyle w:val="Footer"/>
            <w:tabs>
              <w:tab w:val="clear" w:pos="4320"/>
              <w:tab w:val="clear" w:pos="8640"/>
              <w:tab w:val="left" w:pos="2865"/>
            </w:tabs>
            <w:rPr>
              <w:rFonts w:ascii="Shruti" w:hAnsi="Shruti"/>
              <w:sz w:val="22"/>
            </w:rPr>
          </w:pPr>
          <w:r>
            <w:rPr>
              <w:rFonts w:ascii="Shruti" w:hAnsi="Shruti"/>
              <w:sz w:val="22"/>
            </w:rPr>
            <w:t>Substitute Document Number: 85R 7949</w:t>
          </w:r>
        </w:p>
      </w:tc>
      <w:tc>
        <w:tcPr>
          <w:tcW w:w="2453" w:type="pct"/>
        </w:tcPr>
        <w:p w:rsidR="00EC379B" w:rsidRDefault="00A56A1A" w:rsidP="006D504F">
          <w:pPr>
            <w:pStyle w:val="Footer"/>
            <w:rPr>
              <w:rStyle w:val="PageNumber"/>
            </w:rPr>
          </w:pPr>
        </w:p>
        <w:p w:rsidR="00EC379B" w:rsidRDefault="00A56A1A" w:rsidP="009C1E9A">
          <w:pPr>
            <w:pStyle w:val="Footer"/>
            <w:tabs>
              <w:tab w:val="clear" w:pos="8640"/>
              <w:tab w:val="right" w:pos="9360"/>
            </w:tabs>
            <w:jc w:val="right"/>
          </w:pPr>
        </w:p>
      </w:tc>
    </w:tr>
    <w:tr w:rsidR="002E7883" w:rsidTr="009C1E9A">
      <w:trPr>
        <w:cantSplit/>
        <w:trHeight w:val="323"/>
      </w:trPr>
      <w:tc>
        <w:tcPr>
          <w:tcW w:w="0" w:type="pct"/>
          <w:gridSpan w:val="3"/>
        </w:tcPr>
        <w:p w:rsidR="00EC379B" w:rsidRDefault="00A56A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56A1A" w:rsidP="009C1E9A">
          <w:pPr>
            <w:pStyle w:val="Footer"/>
            <w:tabs>
              <w:tab w:val="clear" w:pos="8640"/>
              <w:tab w:val="right" w:pos="9360"/>
            </w:tabs>
            <w:jc w:val="center"/>
          </w:pPr>
        </w:p>
      </w:tc>
    </w:tr>
  </w:tbl>
  <w:p w:rsidR="00EC379B" w:rsidRPr="00FF6F72" w:rsidRDefault="00A56A1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6A1A">
      <w:r>
        <w:separator/>
      </w:r>
    </w:p>
  </w:footnote>
  <w:footnote w:type="continuationSeparator" w:id="0">
    <w:p w:rsidR="00000000" w:rsidRDefault="00A5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83"/>
    <w:rsid w:val="002E7883"/>
    <w:rsid w:val="00A5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76B9"/>
    <w:rPr>
      <w:sz w:val="16"/>
      <w:szCs w:val="16"/>
    </w:rPr>
  </w:style>
  <w:style w:type="paragraph" w:styleId="CommentText">
    <w:name w:val="annotation text"/>
    <w:basedOn w:val="Normal"/>
    <w:link w:val="CommentTextChar"/>
    <w:rsid w:val="001A76B9"/>
    <w:rPr>
      <w:sz w:val="20"/>
      <w:szCs w:val="20"/>
    </w:rPr>
  </w:style>
  <w:style w:type="character" w:customStyle="1" w:styleId="CommentTextChar">
    <w:name w:val="Comment Text Char"/>
    <w:basedOn w:val="DefaultParagraphFont"/>
    <w:link w:val="CommentText"/>
    <w:rsid w:val="001A76B9"/>
  </w:style>
  <w:style w:type="paragraph" w:styleId="CommentSubject">
    <w:name w:val="annotation subject"/>
    <w:basedOn w:val="CommentText"/>
    <w:next w:val="CommentText"/>
    <w:link w:val="CommentSubjectChar"/>
    <w:rsid w:val="001A76B9"/>
    <w:rPr>
      <w:b/>
      <w:bCs/>
    </w:rPr>
  </w:style>
  <w:style w:type="character" w:customStyle="1" w:styleId="CommentSubjectChar">
    <w:name w:val="Comment Subject Char"/>
    <w:basedOn w:val="CommentTextChar"/>
    <w:link w:val="CommentSubject"/>
    <w:rsid w:val="001A76B9"/>
    <w:rPr>
      <w:b/>
      <w:bCs/>
    </w:rPr>
  </w:style>
  <w:style w:type="paragraph" w:styleId="Revision">
    <w:name w:val="Revision"/>
    <w:hidden/>
    <w:uiPriority w:val="99"/>
    <w:semiHidden/>
    <w:rsid w:val="00047D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76B9"/>
    <w:rPr>
      <w:sz w:val="16"/>
      <w:szCs w:val="16"/>
    </w:rPr>
  </w:style>
  <w:style w:type="paragraph" w:styleId="CommentText">
    <w:name w:val="annotation text"/>
    <w:basedOn w:val="Normal"/>
    <w:link w:val="CommentTextChar"/>
    <w:rsid w:val="001A76B9"/>
    <w:rPr>
      <w:sz w:val="20"/>
      <w:szCs w:val="20"/>
    </w:rPr>
  </w:style>
  <w:style w:type="character" w:customStyle="1" w:styleId="CommentTextChar">
    <w:name w:val="Comment Text Char"/>
    <w:basedOn w:val="DefaultParagraphFont"/>
    <w:link w:val="CommentText"/>
    <w:rsid w:val="001A76B9"/>
  </w:style>
  <w:style w:type="paragraph" w:styleId="CommentSubject">
    <w:name w:val="annotation subject"/>
    <w:basedOn w:val="CommentText"/>
    <w:next w:val="CommentText"/>
    <w:link w:val="CommentSubjectChar"/>
    <w:rsid w:val="001A76B9"/>
    <w:rPr>
      <w:b/>
      <w:bCs/>
    </w:rPr>
  </w:style>
  <w:style w:type="character" w:customStyle="1" w:styleId="CommentSubjectChar">
    <w:name w:val="Comment Subject Char"/>
    <w:basedOn w:val="CommentTextChar"/>
    <w:link w:val="CommentSubject"/>
    <w:rsid w:val="001A76B9"/>
    <w:rPr>
      <w:b/>
      <w:bCs/>
    </w:rPr>
  </w:style>
  <w:style w:type="paragraph" w:styleId="Revision">
    <w:name w:val="Revision"/>
    <w:hidden/>
    <w:uiPriority w:val="99"/>
    <w:semiHidden/>
    <w:rsid w:val="00047D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5219</Characters>
  <Application>Microsoft Office Word</Application>
  <DocSecurity>4</DocSecurity>
  <Lines>172</Lines>
  <Paragraphs>56</Paragraphs>
  <ScaleCrop>false</ScaleCrop>
  <HeadingPairs>
    <vt:vector size="2" baseType="variant">
      <vt:variant>
        <vt:lpstr>Title</vt:lpstr>
      </vt:variant>
      <vt:variant>
        <vt:i4>1</vt:i4>
      </vt:variant>
    </vt:vector>
  </HeadingPairs>
  <TitlesOfParts>
    <vt:vector size="1" baseType="lpstr">
      <vt:lpstr>BA - HB01092 (Committee Report (Substituted))</vt:lpstr>
    </vt:vector>
  </TitlesOfParts>
  <Company>State of Texas</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21623</dc:subject>
  <dc:creator>State of Texas</dc:creator>
  <dc:description>HB 1092 by Oliverson-(H)Public Health (Substitute Document Number: 85R 7949)</dc:description>
  <cp:lastModifiedBy>Molly Hoffman-Bricker</cp:lastModifiedBy>
  <cp:revision>2</cp:revision>
  <cp:lastPrinted>2017-04-06T16:32:00Z</cp:lastPrinted>
  <dcterms:created xsi:type="dcterms:W3CDTF">2017-04-12T23:03:00Z</dcterms:created>
  <dcterms:modified xsi:type="dcterms:W3CDTF">2017-04-12T23:03:00Z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17.95.843</vt:lpwstr>
  </property>
</Properties>
</file>