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B0CB7" w:rsidTr="00345119">
        <w:tc>
          <w:tcPr>
            <w:tcW w:w="9576" w:type="dxa"/>
            <w:noWrap/>
          </w:tcPr>
          <w:p w:rsidR="008423E4" w:rsidRPr="0022177D" w:rsidRDefault="000E35CE" w:rsidP="00345119">
            <w:pPr>
              <w:pStyle w:val="Heading1"/>
            </w:pPr>
            <w:bookmarkStart w:id="0" w:name="_GoBack"/>
            <w:bookmarkEnd w:id="0"/>
            <w:r w:rsidRPr="00631897">
              <w:t>BILL ANALYSIS</w:t>
            </w:r>
          </w:p>
        </w:tc>
      </w:tr>
    </w:tbl>
    <w:p w:rsidR="008423E4" w:rsidRPr="0022177D" w:rsidRDefault="000E35CE" w:rsidP="008423E4">
      <w:pPr>
        <w:jc w:val="center"/>
      </w:pPr>
    </w:p>
    <w:p w:rsidR="008423E4" w:rsidRPr="00B31F0E" w:rsidRDefault="000E35CE" w:rsidP="008423E4"/>
    <w:p w:rsidR="008423E4" w:rsidRPr="00742794" w:rsidRDefault="000E35CE" w:rsidP="008423E4">
      <w:pPr>
        <w:tabs>
          <w:tab w:val="right" w:pos="9360"/>
        </w:tabs>
      </w:pPr>
    </w:p>
    <w:tbl>
      <w:tblPr>
        <w:tblW w:w="0" w:type="auto"/>
        <w:tblLayout w:type="fixed"/>
        <w:tblLook w:val="01E0" w:firstRow="1" w:lastRow="1" w:firstColumn="1" w:lastColumn="1" w:noHBand="0" w:noVBand="0"/>
      </w:tblPr>
      <w:tblGrid>
        <w:gridCol w:w="9576"/>
      </w:tblGrid>
      <w:tr w:rsidR="00BB0CB7" w:rsidTr="00345119">
        <w:tc>
          <w:tcPr>
            <w:tcW w:w="9576" w:type="dxa"/>
          </w:tcPr>
          <w:p w:rsidR="008423E4" w:rsidRPr="00861995" w:rsidRDefault="000E35CE" w:rsidP="00345119">
            <w:pPr>
              <w:jc w:val="right"/>
            </w:pPr>
            <w:r>
              <w:t>H.B. 1098</w:t>
            </w:r>
          </w:p>
        </w:tc>
      </w:tr>
      <w:tr w:rsidR="00BB0CB7" w:rsidTr="00345119">
        <w:tc>
          <w:tcPr>
            <w:tcW w:w="9576" w:type="dxa"/>
          </w:tcPr>
          <w:p w:rsidR="008423E4" w:rsidRPr="00861995" w:rsidRDefault="000E35CE" w:rsidP="00BB4896">
            <w:pPr>
              <w:jc w:val="right"/>
            </w:pPr>
            <w:r>
              <w:t xml:space="preserve">By: </w:t>
            </w:r>
            <w:r>
              <w:t>Canales</w:t>
            </w:r>
          </w:p>
        </w:tc>
      </w:tr>
      <w:tr w:rsidR="00BB0CB7" w:rsidTr="00345119">
        <w:tc>
          <w:tcPr>
            <w:tcW w:w="9576" w:type="dxa"/>
          </w:tcPr>
          <w:p w:rsidR="008423E4" w:rsidRPr="00861995" w:rsidRDefault="000E35CE" w:rsidP="00345119">
            <w:pPr>
              <w:jc w:val="right"/>
            </w:pPr>
            <w:r>
              <w:t>Business &amp; Industry</w:t>
            </w:r>
          </w:p>
        </w:tc>
      </w:tr>
      <w:tr w:rsidR="00BB0CB7" w:rsidTr="00345119">
        <w:tc>
          <w:tcPr>
            <w:tcW w:w="9576" w:type="dxa"/>
          </w:tcPr>
          <w:p w:rsidR="008423E4" w:rsidRDefault="000E35CE" w:rsidP="00345119">
            <w:pPr>
              <w:jc w:val="right"/>
            </w:pPr>
            <w:r>
              <w:t>Committee Report (Unamended)</w:t>
            </w:r>
          </w:p>
        </w:tc>
      </w:tr>
    </w:tbl>
    <w:p w:rsidR="008423E4" w:rsidRDefault="000E35CE" w:rsidP="008423E4">
      <w:pPr>
        <w:tabs>
          <w:tab w:val="right" w:pos="9360"/>
        </w:tabs>
      </w:pPr>
    </w:p>
    <w:p w:rsidR="008423E4" w:rsidRDefault="000E35CE" w:rsidP="008423E4"/>
    <w:p w:rsidR="008423E4" w:rsidRDefault="000E35CE" w:rsidP="008423E4"/>
    <w:tbl>
      <w:tblPr>
        <w:tblW w:w="0" w:type="auto"/>
        <w:tblCellMar>
          <w:left w:w="115" w:type="dxa"/>
          <w:right w:w="115" w:type="dxa"/>
        </w:tblCellMar>
        <w:tblLook w:val="01E0" w:firstRow="1" w:lastRow="1" w:firstColumn="1" w:lastColumn="1" w:noHBand="0" w:noVBand="0"/>
      </w:tblPr>
      <w:tblGrid>
        <w:gridCol w:w="9576"/>
      </w:tblGrid>
      <w:tr w:rsidR="00BB0CB7" w:rsidTr="00345119">
        <w:tc>
          <w:tcPr>
            <w:tcW w:w="9576" w:type="dxa"/>
          </w:tcPr>
          <w:p w:rsidR="008423E4" w:rsidRPr="00A8133F" w:rsidRDefault="000E35CE" w:rsidP="00D936B3">
            <w:pPr>
              <w:rPr>
                <w:b/>
              </w:rPr>
            </w:pPr>
            <w:r w:rsidRPr="009C1E9A">
              <w:rPr>
                <w:b/>
                <w:u w:val="single"/>
              </w:rPr>
              <w:t>BACKGROUND AND PURPOSE</w:t>
            </w:r>
            <w:r>
              <w:rPr>
                <w:b/>
              </w:rPr>
              <w:t xml:space="preserve"> </w:t>
            </w:r>
          </w:p>
          <w:p w:rsidR="008423E4" w:rsidRDefault="000E35CE" w:rsidP="00D936B3"/>
          <w:p w:rsidR="008423E4" w:rsidRDefault="000E35CE" w:rsidP="00D936B3">
            <w:pPr>
              <w:pStyle w:val="Header"/>
              <w:jc w:val="both"/>
            </w:pPr>
            <w:r>
              <w:t xml:space="preserve">Interested parties contend </w:t>
            </w:r>
            <w:r>
              <w:t>that</w:t>
            </w:r>
            <w:r>
              <w:t xml:space="preserve"> tenants</w:t>
            </w:r>
            <w:r>
              <w:t xml:space="preserve"> participating in the federal Section 8 housing choice voucher program </w:t>
            </w:r>
            <w:r>
              <w:t xml:space="preserve">are </w:t>
            </w:r>
            <w:r>
              <w:t>uniquely</w:t>
            </w:r>
            <w:r>
              <w:t xml:space="preserve"> vulnerable </w:t>
            </w:r>
            <w:r>
              <w:t xml:space="preserve">to being charged excessive fees for the late payment of rent </w:t>
            </w:r>
            <w:r>
              <w:t xml:space="preserve">because landlords typically charge flat late fees expressed as a dollar amount rather than as a percentage of the rent being paid. </w:t>
            </w:r>
            <w:r>
              <w:t xml:space="preserve">H.B. 1098 seeks to assist such tenants by </w:t>
            </w:r>
            <w:r>
              <w:t xml:space="preserve">establishing a cap on </w:t>
            </w:r>
            <w:r>
              <w:t>the amount of late fees that</w:t>
            </w:r>
            <w:r>
              <w:t xml:space="preserve"> a landlord </w:t>
            </w:r>
            <w:r>
              <w:t xml:space="preserve">may charge a tenant who participates in </w:t>
            </w:r>
            <w:r>
              <w:t>that</w:t>
            </w:r>
            <w:r>
              <w:t xml:space="preserve"> program</w:t>
            </w:r>
            <w:r>
              <w:t xml:space="preserve"> and fails to pay rent for a rental pay period</w:t>
            </w:r>
            <w:r>
              <w:t>.</w:t>
            </w:r>
          </w:p>
          <w:p w:rsidR="008423E4" w:rsidRPr="00E26B13" w:rsidRDefault="000E35CE" w:rsidP="00D936B3">
            <w:pPr>
              <w:rPr>
                <w:b/>
              </w:rPr>
            </w:pPr>
          </w:p>
        </w:tc>
      </w:tr>
      <w:tr w:rsidR="00BB0CB7" w:rsidTr="00345119">
        <w:tc>
          <w:tcPr>
            <w:tcW w:w="9576" w:type="dxa"/>
          </w:tcPr>
          <w:p w:rsidR="0017725B" w:rsidRDefault="000E35CE" w:rsidP="00D936B3">
            <w:pPr>
              <w:rPr>
                <w:b/>
                <w:u w:val="single"/>
              </w:rPr>
            </w:pPr>
            <w:r>
              <w:rPr>
                <w:b/>
                <w:u w:val="single"/>
              </w:rPr>
              <w:t>CRIMINAL JUSTICE IMPACT</w:t>
            </w:r>
          </w:p>
          <w:p w:rsidR="0017725B" w:rsidRDefault="000E35CE" w:rsidP="00D936B3">
            <w:pPr>
              <w:rPr>
                <w:b/>
                <w:u w:val="single"/>
              </w:rPr>
            </w:pPr>
          </w:p>
          <w:p w:rsidR="00972DD1" w:rsidRPr="00972DD1" w:rsidRDefault="000E35CE" w:rsidP="00D936B3">
            <w:pPr>
              <w:jc w:val="both"/>
            </w:pPr>
            <w:r>
              <w:t>It is the committee's opinion that this bill does not expressly create a criminal offense</w:t>
            </w:r>
            <w:r>
              <w:t>, increase the punishment for an existing criminal offense or category of offenses, or change the eligibility of a person for community supervision, parole, or mandatory supervision.</w:t>
            </w:r>
          </w:p>
          <w:p w:rsidR="0017725B" w:rsidRPr="0017725B" w:rsidRDefault="000E35CE" w:rsidP="00D936B3">
            <w:pPr>
              <w:rPr>
                <w:b/>
                <w:u w:val="single"/>
              </w:rPr>
            </w:pPr>
          </w:p>
        </w:tc>
      </w:tr>
      <w:tr w:rsidR="00BB0CB7" w:rsidTr="00345119">
        <w:tc>
          <w:tcPr>
            <w:tcW w:w="9576" w:type="dxa"/>
          </w:tcPr>
          <w:p w:rsidR="008423E4" w:rsidRPr="00A8133F" w:rsidRDefault="000E35CE" w:rsidP="00D936B3">
            <w:pPr>
              <w:rPr>
                <w:b/>
              </w:rPr>
            </w:pPr>
            <w:r w:rsidRPr="009C1E9A">
              <w:rPr>
                <w:b/>
                <w:u w:val="single"/>
              </w:rPr>
              <w:t>RULEMAKING AUTHORITY</w:t>
            </w:r>
            <w:r>
              <w:rPr>
                <w:b/>
              </w:rPr>
              <w:t xml:space="preserve"> </w:t>
            </w:r>
          </w:p>
          <w:p w:rsidR="008423E4" w:rsidRDefault="000E35CE" w:rsidP="00D936B3"/>
          <w:p w:rsidR="00972DD1" w:rsidRDefault="000E35CE" w:rsidP="00D936B3">
            <w:pPr>
              <w:pStyle w:val="Header"/>
              <w:tabs>
                <w:tab w:val="clear" w:pos="4320"/>
                <w:tab w:val="clear" w:pos="8640"/>
              </w:tabs>
              <w:jc w:val="both"/>
            </w:pPr>
            <w:r>
              <w:t xml:space="preserve">It is the committee's opinion that this bill </w:t>
            </w:r>
            <w:r>
              <w:t>does not expressly grant any additional rulemaking authority to a state officer, department, agency, or institution.</w:t>
            </w:r>
          </w:p>
          <w:p w:rsidR="008423E4" w:rsidRPr="00E21FDC" w:rsidRDefault="000E35CE" w:rsidP="00D936B3">
            <w:pPr>
              <w:rPr>
                <w:b/>
              </w:rPr>
            </w:pPr>
          </w:p>
        </w:tc>
      </w:tr>
      <w:tr w:rsidR="00BB0CB7" w:rsidTr="00345119">
        <w:tc>
          <w:tcPr>
            <w:tcW w:w="9576" w:type="dxa"/>
          </w:tcPr>
          <w:p w:rsidR="008423E4" w:rsidRPr="00A8133F" w:rsidRDefault="000E35CE" w:rsidP="00D936B3">
            <w:pPr>
              <w:rPr>
                <w:b/>
              </w:rPr>
            </w:pPr>
            <w:r w:rsidRPr="009C1E9A">
              <w:rPr>
                <w:b/>
                <w:u w:val="single"/>
              </w:rPr>
              <w:t>ANALYSIS</w:t>
            </w:r>
            <w:r>
              <w:rPr>
                <w:b/>
              </w:rPr>
              <w:t xml:space="preserve"> </w:t>
            </w:r>
          </w:p>
          <w:p w:rsidR="008423E4" w:rsidRDefault="000E35CE" w:rsidP="00D936B3"/>
          <w:p w:rsidR="008423E4" w:rsidRDefault="000E35CE" w:rsidP="00D936B3">
            <w:pPr>
              <w:pStyle w:val="Header"/>
              <w:tabs>
                <w:tab w:val="clear" w:pos="4320"/>
                <w:tab w:val="clear" w:pos="8640"/>
              </w:tabs>
              <w:jc w:val="both"/>
            </w:pPr>
            <w:r>
              <w:t xml:space="preserve">H.B. 1098 amends the Property Code to prohibit </w:t>
            </w:r>
            <w:r w:rsidRPr="00333AA6">
              <w:t xml:space="preserve">a landlord </w:t>
            </w:r>
            <w:r>
              <w:t>from charging</w:t>
            </w:r>
            <w:r w:rsidRPr="00333AA6">
              <w:t xml:space="preserve"> a tenant who fails to pay rent for a rental pay period</w:t>
            </w:r>
            <w:r w:rsidRPr="00333AA6">
              <w:t xml:space="preserve"> and who participates in the </w:t>
            </w:r>
            <w:r>
              <w:t xml:space="preserve">federal Section 8 </w:t>
            </w:r>
            <w:r w:rsidRPr="00333AA6">
              <w:t>housing choice voucher program an initial late fee or daily late fees the total amount of which would exceed five percent of the amount of rent owed by the tenant during a rental pay period under the lease.</w:t>
            </w:r>
          </w:p>
          <w:p w:rsidR="008423E4" w:rsidRPr="00835628" w:rsidRDefault="000E35CE" w:rsidP="00D936B3">
            <w:pPr>
              <w:rPr>
                <w:b/>
              </w:rPr>
            </w:pPr>
          </w:p>
        </w:tc>
      </w:tr>
      <w:tr w:rsidR="00BB0CB7" w:rsidTr="00345119">
        <w:tc>
          <w:tcPr>
            <w:tcW w:w="9576" w:type="dxa"/>
          </w:tcPr>
          <w:p w:rsidR="008423E4" w:rsidRPr="00A8133F" w:rsidRDefault="000E35CE" w:rsidP="00D936B3">
            <w:pPr>
              <w:rPr>
                <w:b/>
              </w:rPr>
            </w:pPr>
            <w:r w:rsidRPr="009C1E9A">
              <w:rPr>
                <w:b/>
                <w:u w:val="single"/>
              </w:rPr>
              <w:t>EFFECTIVE DATE</w:t>
            </w:r>
            <w:r>
              <w:rPr>
                <w:b/>
              </w:rPr>
              <w:t xml:space="preserve"> </w:t>
            </w:r>
          </w:p>
          <w:p w:rsidR="008423E4" w:rsidRDefault="000E35CE" w:rsidP="00D936B3"/>
          <w:p w:rsidR="008423E4" w:rsidRPr="003624F2" w:rsidRDefault="000E35CE" w:rsidP="00D936B3">
            <w:pPr>
              <w:pStyle w:val="Header"/>
              <w:tabs>
                <w:tab w:val="clear" w:pos="4320"/>
                <w:tab w:val="clear" w:pos="8640"/>
              </w:tabs>
              <w:jc w:val="both"/>
            </w:pPr>
            <w:r>
              <w:t>September 1, 2017.</w:t>
            </w:r>
          </w:p>
          <w:p w:rsidR="008423E4" w:rsidRPr="00233FDB" w:rsidRDefault="000E35CE" w:rsidP="00D936B3">
            <w:pPr>
              <w:rPr>
                <w:b/>
              </w:rPr>
            </w:pPr>
          </w:p>
        </w:tc>
      </w:tr>
    </w:tbl>
    <w:p w:rsidR="008423E4" w:rsidRPr="00BE0E75" w:rsidRDefault="000E35CE" w:rsidP="008423E4">
      <w:pPr>
        <w:spacing w:line="480" w:lineRule="auto"/>
        <w:jc w:val="both"/>
        <w:rPr>
          <w:rFonts w:ascii="Arial" w:hAnsi="Arial"/>
          <w:sz w:val="16"/>
          <w:szCs w:val="16"/>
        </w:rPr>
      </w:pPr>
    </w:p>
    <w:p w:rsidR="004108C3" w:rsidRPr="008423E4" w:rsidRDefault="000E35C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35CE">
      <w:r>
        <w:separator/>
      </w:r>
    </w:p>
  </w:endnote>
  <w:endnote w:type="continuationSeparator" w:id="0">
    <w:p w:rsidR="00000000" w:rsidRDefault="000E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B0CB7" w:rsidTr="009C1E9A">
      <w:trPr>
        <w:cantSplit/>
      </w:trPr>
      <w:tc>
        <w:tcPr>
          <w:tcW w:w="0" w:type="pct"/>
        </w:tcPr>
        <w:p w:rsidR="00137D90" w:rsidRDefault="000E35CE" w:rsidP="009C1E9A">
          <w:pPr>
            <w:pStyle w:val="Footer"/>
            <w:tabs>
              <w:tab w:val="clear" w:pos="8640"/>
              <w:tab w:val="right" w:pos="9360"/>
            </w:tabs>
          </w:pPr>
        </w:p>
      </w:tc>
      <w:tc>
        <w:tcPr>
          <w:tcW w:w="2395" w:type="pct"/>
        </w:tcPr>
        <w:p w:rsidR="00137D90" w:rsidRDefault="000E35CE" w:rsidP="009C1E9A">
          <w:pPr>
            <w:pStyle w:val="Footer"/>
            <w:tabs>
              <w:tab w:val="clear" w:pos="8640"/>
              <w:tab w:val="right" w:pos="9360"/>
            </w:tabs>
          </w:pPr>
        </w:p>
        <w:p w:rsidR="001A4310" w:rsidRDefault="000E35CE" w:rsidP="009C1E9A">
          <w:pPr>
            <w:pStyle w:val="Footer"/>
            <w:tabs>
              <w:tab w:val="clear" w:pos="8640"/>
              <w:tab w:val="right" w:pos="9360"/>
            </w:tabs>
          </w:pPr>
        </w:p>
        <w:p w:rsidR="00137D90" w:rsidRDefault="000E35CE" w:rsidP="009C1E9A">
          <w:pPr>
            <w:pStyle w:val="Footer"/>
            <w:tabs>
              <w:tab w:val="clear" w:pos="8640"/>
              <w:tab w:val="right" w:pos="9360"/>
            </w:tabs>
          </w:pPr>
        </w:p>
      </w:tc>
      <w:tc>
        <w:tcPr>
          <w:tcW w:w="2453" w:type="pct"/>
        </w:tcPr>
        <w:p w:rsidR="00137D90" w:rsidRDefault="000E35CE" w:rsidP="009C1E9A">
          <w:pPr>
            <w:pStyle w:val="Footer"/>
            <w:tabs>
              <w:tab w:val="clear" w:pos="8640"/>
              <w:tab w:val="right" w:pos="9360"/>
            </w:tabs>
            <w:jc w:val="right"/>
          </w:pPr>
        </w:p>
      </w:tc>
    </w:tr>
    <w:tr w:rsidR="00BB0CB7" w:rsidTr="009C1E9A">
      <w:trPr>
        <w:cantSplit/>
      </w:trPr>
      <w:tc>
        <w:tcPr>
          <w:tcW w:w="0" w:type="pct"/>
        </w:tcPr>
        <w:p w:rsidR="00EC379B" w:rsidRDefault="000E35CE" w:rsidP="009C1E9A">
          <w:pPr>
            <w:pStyle w:val="Footer"/>
            <w:tabs>
              <w:tab w:val="clear" w:pos="8640"/>
              <w:tab w:val="right" w:pos="9360"/>
            </w:tabs>
          </w:pPr>
        </w:p>
      </w:tc>
      <w:tc>
        <w:tcPr>
          <w:tcW w:w="2395" w:type="pct"/>
        </w:tcPr>
        <w:p w:rsidR="00EC379B" w:rsidRPr="009C1E9A" w:rsidRDefault="000E35CE" w:rsidP="009C1E9A">
          <w:pPr>
            <w:pStyle w:val="Footer"/>
            <w:tabs>
              <w:tab w:val="clear" w:pos="8640"/>
              <w:tab w:val="right" w:pos="9360"/>
            </w:tabs>
            <w:rPr>
              <w:rFonts w:ascii="Shruti" w:hAnsi="Shruti"/>
              <w:sz w:val="22"/>
            </w:rPr>
          </w:pPr>
          <w:r>
            <w:rPr>
              <w:rFonts w:ascii="Shruti" w:hAnsi="Shruti"/>
              <w:sz w:val="22"/>
            </w:rPr>
            <w:t>85R 18849</w:t>
          </w:r>
        </w:p>
      </w:tc>
      <w:tc>
        <w:tcPr>
          <w:tcW w:w="2453" w:type="pct"/>
        </w:tcPr>
        <w:p w:rsidR="00EC379B" w:rsidRDefault="000E35CE" w:rsidP="009C1E9A">
          <w:pPr>
            <w:pStyle w:val="Footer"/>
            <w:tabs>
              <w:tab w:val="clear" w:pos="8640"/>
              <w:tab w:val="right" w:pos="9360"/>
            </w:tabs>
            <w:jc w:val="right"/>
          </w:pPr>
          <w:r>
            <w:fldChar w:fldCharType="begin"/>
          </w:r>
          <w:r>
            <w:instrText xml:space="preserve"> DOCPROPERTY  OTID  \* MERGEFORMAT </w:instrText>
          </w:r>
          <w:r>
            <w:fldChar w:fldCharType="separate"/>
          </w:r>
          <w:r>
            <w:t>17.81.213</w:t>
          </w:r>
          <w:r>
            <w:fldChar w:fldCharType="end"/>
          </w:r>
        </w:p>
      </w:tc>
    </w:tr>
    <w:tr w:rsidR="00BB0CB7" w:rsidTr="009C1E9A">
      <w:trPr>
        <w:cantSplit/>
      </w:trPr>
      <w:tc>
        <w:tcPr>
          <w:tcW w:w="0" w:type="pct"/>
        </w:tcPr>
        <w:p w:rsidR="00EC379B" w:rsidRDefault="000E35CE" w:rsidP="009C1E9A">
          <w:pPr>
            <w:pStyle w:val="Footer"/>
            <w:tabs>
              <w:tab w:val="clear" w:pos="4320"/>
              <w:tab w:val="clear" w:pos="8640"/>
              <w:tab w:val="left" w:pos="2865"/>
            </w:tabs>
          </w:pPr>
        </w:p>
      </w:tc>
      <w:tc>
        <w:tcPr>
          <w:tcW w:w="2395" w:type="pct"/>
        </w:tcPr>
        <w:p w:rsidR="00EC379B" w:rsidRPr="009C1E9A" w:rsidRDefault="000E35CE" w:rsidP="009C1E9A">
          <w:pPr>
            <w:pStyle w:val="Footer"/>
            <w:tabs>
              <w:tab w:val="clear" w:pos="4320"/>
              <w:tab w:val="clear" w:pos="8640"/>
              <w:tab w:val="left" w:pos="2865"/>
            </w:tabs>
            <w:rPr>
              <w:rFonts w:ascii="Shruti" w:hAnsi="Shruti"/>
              <w:sz w:val="22"/>
            </w:rPr>
          </w:pPr>
        </w:p>
      </w:tc>
      <w:tc>
        <w:tcPr>
          <w:tcW w:w="2453" w:type="pct"/>
        </w:tcPr>
        <w:p w:rsidR="00EC379B" w:rsidRDefault="000E35CE" w:rsidP="006D504F">
          <w:pPr>
            <w:pStyle w:val="Footer"/>
            <w:rPr>
              <w:rStyle w:val="PageNumber"/>
            </w:rPr>
          </w:pPr>
        </w:p>
        <w:p w:rsidR="00EC379B" w:rsidRDefault="000E35CE" w:rsidP="009C1E9A">
          <w:pPr>
            <w:pStyle w:val="Footer"/>
            <w:tabs>
              <w:tab w:val="clear" w:pos="8640"/>
              <w:tab w:val="right" w:pos="9360"/>
            </w:tabs>
            <w:jc w:val="right"/>
          </w:pPr>
        </w:p>
      </w:tc>
    </w:tr>
    <w:tr w:rsidR="00BB0CB7" w:rsidTr="009C1E9A">
      <w:trPr>
        <w:cantSplit/>
        <w:trHeight w:val="323"/>
      </w:trPr>
      <w:tc>
        <w:tcPr>
          <w:tcW w:w="0" w:type="pct"/>
          <w:gridSpan w:val="3"/>
        </w:tcPr>
        <w:p w:rsidR="00EC379B" w:rsidRDefault="000E35C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E35CE" w:rsidP="009C1E9A">
          <w:pPr>
            <w:pStyle w:val="Footer"/>
            <w:tabs>
              <w:tab w:val="clear" w:pos="8640"/>
              <w:tab w:val="right" w:pos="9360"/>
            </w:tabs>
            <w:jc w:val="center"/>
          </w:pPr>
        </w:p>
      </w:tc>
    </w:tr>
  </w:tbl>
  <w:p w:rsidR="00EC379B" w:rsidRPr="00FF6F72" w:rsidRDefault="000E35C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35CE">
      <w:r>
        <w:separator/>
      </w:r>
    </w:p>
  </w:footnote>
  <w:footnote w:type="continuationSeparator" w:id="0">
    <w:p w:rsidR="00000000" w:rsidRDefault="000E3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B7"/>
    <w:rsid w:val="000E35CE"/>
    <w:rsid w:val="00BB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33AA6"/>
    <w:rPr>
      <w:sz w:val="16"/>
      <w:szCs w:val="16"/>
    </w:rPr>
  </w:style>
  <w:style w:type="paragraph" w:styleId="CommentText">
    <w:name w:val="annotation text"/>
    <w:basedOn w:val="Normal"/>
    <w:link w:val="CommentTextChar"/>
    <w:rsid w:val="00333AA6"/>
    <w:rPr>
      <w:sz w:val="20"/>
      <w:szCs w:val="20"/>
    </w:rPr>
  </w:style>
  <w:style w:type="character" w:customStyle="1" w:styleId="CommentTextChar">
    <w:name w:val="Comment Text Char"/>
    <w:basedOn w:val="DefaultParagraphFont"/>
    <w:link w:val="CommentText"/>
    <w:rsid w:val="00333AA6"/>
  </w:style>
  <w:style w:type="paragraph" w:styleId="CommentSubject">
    <w:name w:val="annotation subject"/>
    <w:basedOn w:val="CommentText"/>
    <w:next w:val="CommentText"/>
    <w:link w:val="CommentSubjectChar"/>
    <w:rsid w:val="00333AA6"/>
    <w:rPr>
      <w:b/>
      <w:bCs/>
    </w:rPr>
  </w:style>
  <w:style w:type="character" w:customStyle="1" w:styleId="CommentSubjectChar">
    <w:name w:val="Comment Subject Char"/>
    <w:basedOn w:val="CommentTextChar"/>
    <w:link w:val="CommentSubject"/>
    <w:rsid w:val="00333A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33AA6"/>
    <w:rPr>
      <w:sz w:val="16"/>
      <w:szCs w:val="16"/>
    </w:rPr>
  </w:style>
  <w:style w:type="paragraph" w:styleId="CommentText">
    <w:name w:val="annotation text"/>
    <w:basedOn w:val="Normal"/>
    <w:link w:val="CommentTextChar"/>
    <w:rsid w:val="00333AA6"/>
    <w:rPr>
      <w:sz w:val="20"/>
      <w:szCs w:val="20"/>
    </w:rPr>
  </w:style>
  <w:style w:type="character" w:customStyle="1" w:styleId="CommentTextChar">
    <w:name w:val="Comment Text Char"/>
    <w:basedOn w:val="DefaultParagraphFont"/>
    <w:link w:val="CommentText"/>
    <w:rsid w:val="00333AA6"/>
  </w:style>
  <w:style w:type="paragraph" w:styleId="CommentSubject">
    <w:name w:val="annotation subject"/>
    <w:basedOn w:val="CommentText"/>
    <w:next w:val="CommentText"/>
    <w:link w:val="CommentSubjectChar"/>
    <w:rsid w:val="00333AA6"/>
    <w:rPr>
      <w:b/>
      <w:bCs/>
    </w:rPr>
  </w:style>
  <w:style w:type="character" w:customStyle="1" w:styleId="CommentSubjectChar">
    <w:name w:val="Comment Subject Char"/>
    <w:basedOn w:val="CommentTextChar"/>
    <w:link w:val="CommentSubject"/>
    <w:rsid w:val="00333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1289</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HB01098 (Committee Report (Unamended))</vt:lpstr>
    </vt:vector>
  </TitlesOfParts>
  <Company>State of Texas</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18849</dc:subject>
  <dc:creator>State of Texas</dc:creator>
  <dc:description>HB 1098 by Canales-(H)Business &amp; Industry</dc:description>
  <cp:lastModifiedBy>Molly Hoffman-Bricker</cp:lastModifiedBy>
  <cp:revision>2</cp:revision>
  <cp:lastPrinted>2017-03-22T16:32:00Z</cp:lastPrinted>
  <dcterms:created xsi:type="dcterms:W3CDTF">2017-04-21T23:42:00Z</dcterms:created>
  <dcterms:modified xsi:type="dcterms:W3CDTF">2017-04-21T23:42:00Z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17.81.213</vt:lpwstr>
  </property>
</Properties>
</file>