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F81089" w:rsidTr="00345119">
        <w:tc>
          <w:tcPr>
            <w:tcW w:w="9576" w:type="dxa"/>
            <w:noWrap/>
          </w:tcPr>
          <w:p w:rsidR="008423E4" w:rsidRPr="0022177D" w:rsidRDefault="00C52A2D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C52A2D" w:rsidP="008423E4">
      <w:pPr>
        <w:jc w:val="center"/>
      </w:pPr>
    </w:p>
    <w:p w:rsidR="008423E4" w:rsidRPr="00B31F0E" w:rsidRDefault="00C52A2D" w:rsidP="008423E4"/>
    <w:p w:rsidR="008423E4" w:rsidRPr="00742794" w:rsidRDefault="00C52A2D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81089" w:rsidTr="00345119">
        <w:tc>
          <w:tcPr>
            <w:tcW w:w="9576" w:type="dxa"/>
          </w:tcPr>
          <w:p w:rsidR="008423E4" w:rsidRPr="00861995" w:rsidRDefault="00C52A2D" w:rsidP="00345119">
            <w:pPr>
              <w:jc w:val="right"/>
            </w:pPr>
            <w:r>
              <w:t>H.B. 1166</w:t>
            </w:r>
          </w:p>
        </w:tc>
      </w:tr>
      <w:tr w:rsidR="00F81089" w:rsidTr="00345119">
        <w:tc>
          <w:tcPr>
            <w:tcW w:w="9576" w:type="dxa"/>
          </w:tcPr>
          <w:p w:rsidR="008423E4" w:rsidRPr="00861995" w:rsidRDefault="00C52A2D" w:rsidP="004B6231">
            <w:pPr>
              <w:jc w:val="right"/>
            </w:pPr>
            <w:r>
              <w:t xml:space="preserve">By: </w:t>
            </w:r>
            <w:r>
              <w:t>Stephenson</w:t>
            </w:r>
          </w:p>
        </w:tc>
      </w:tr>
      <w:tr w:rsidR="00F81089" w:rsidTr="00345119">
        <w:tc>
          <w:tcPr>
            <w:tcW w:w="9576" w:type="dxa"/>
          </w:tcPr>
          <w:p w:rsidR="008423E4" w:rsidRPr="00861995" w:rsidRDefault="00C52A2D" w:rsidP="00345119">
            <w:pPr>
              <w:jc w:val="right"/>
            </w:pPr>
            <w:r>
              <w:t>Judiciary &amp; Civil Jurisprudence</w:t>
            </w:r>
          </w:p>
        </w:tc>
      </w:tr>
      <w:tr w:rsidR="00F81089" w:rsidTr="00345119">
        <w:tc>
          <w:tcPr>
            <w:tcW w:w="9576" w:type="dxa"/>
          </w:tcPr>
          <w:p w:rsidR="008423E4" w:rsidRDefault="00C52A2D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C52A2D" w:rsidP="008423E4">
      <w:pPr>
        <w:tabs>
          <w:tab w:val="right" w:pos="9360"/>
        </w:tabs>
      </w:pPr>
    </w:p>
    <w:p w:rsidR="008423E4" w:rsidRDefault="00C52A2D" w:rsidP="008423E4"/>
    <w:p w:rsidR="008423E4" w:rsidRDefault="00C52A2D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F81089" w:rsidTr="00345119">
        <w:tc>
          <w:tcPr>
            <w:tcW w:w="9576" w:type="dxa"/>
          </w:tcPr>
          <w:p w:rsidR="008423E4" w:rsidRPr="00A8133F" w:rsidRDefault="00C52A2D" w:rsidP="0060386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C52A2D" w:rsidP="00603867"/>
          <w:p w:rsidR="008423E4" w:rsidRDefault="00C52A2D" w:rsidP="00603867">
            <w:pPr>
              <w:pStyle w:val="Header"/>
              <w:jc w:val="both"/>
            </w:pPr>
            <w:r>
              <w:t>Interested parties contend that</w:t>
            </w:r>
            <w:r>
              <w:t xml:space="preserve"> limitations on the liability of certain electric utilities that allow public use of the utility's property for recreation and certain other purposes</w:t>
            </w:r>
            <w:r>
              <w:t xml:space="preserve"> should be extended to electric utilities located in </w:t>
            </w:r>
            <w:r>
              <w:t xml:space="preserve">a county </w:t>
            </w:r>
            <w:r w:rsidRPr="00870436">
              <w:t>with a population of 550,000 or more</w:t>
            </w:r>
            <w:r>
              <w:t xml:space="preserve"> </w:t>
            </w:r>
            <w:r>
              <w:t xml:space="preserve">that </w:t>
            </w:r>
            <w:r>
              <w:t>is</w:t>
            </w:r>
            <w:r>
              <w:t xml:space="preserve"> </w:t>
            </w:r>
            <w:r>
              <w:t xml:space="preserve">adjacent to a county </w:t>
            </w:r>
            <w:r>
              <w:t>in which such limitations already apply</w:t>
            </w:r>
            <w:r>
              <w:t xml:space="preserve">. </w:t>
            </w:r>
            <w:r>
              <w:t xml:space="preserve">H.B. 1166 seeks to provide </w:t>
            </w:r>
            <w:r>
              <w:t xml:space="preserve">for </w:t>
            </w:r>
            <w:r>
              <w:t>such extension.</w:t>
            </w:r>
          </w:p>
          <w:p w:rsidR="008423E4" w:rsidRPr="00E26B13" w:rsidRDefault="00C52A2D" w:rsidP="00603867">
            <w:pPr>
              <w:rPr>
                <w:b/>
              </w:rPr>
            </w:pPr>
          </w:p>
        </w:tc>
      </w:tr>
      <w:tr w:rsidR="00F81089" w:rsidTr="00345119">
        <w:tc>
          <w:tcPr>
            <w:tcW w:w="9576" w:type="dxa"/>
          </w:tcPr>
          <w:p w:rsidR="0017725B" w:rsidRDefault="00C52A2D" w:rsidP="0060386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C52A2D" w:rsidP="00603867">
            <w:pPr>
              <w:rPr>
                <w:b/>
                <w:u w:val="single"/>
              </w:rPr>
            </w:pPr>
          </w:p>
          <w:p w:rsidR="00870436" w:rsidRPr="00870436" w:rsidRDefault="00C52A2D" w:rsidP="00603867">
            <w:pPr>
              <w:jc w:val="both"/>
            </w:pPr>
            <w:r>
              <w:t>It is the committee's opinion that this bill does not expressly create a criminal offense, increase the punishment for a</w:t>
            </w:r>
            <w:r>
              <w:t>n existing criminal offense or category of offenses, or change the eligibility of a person for community supervision, parole, or mandatory supervision.</w:t>
            </w:r>
          </w:p>
          <w:p w:rsidR="0017725B" w:rsidRPr="0017725B" w:rsidRDefault="00C52A2D" w:rsidP="00603867">
            <w:pPr>
              <w:rPr>
                <w:b/>
                <w:u w:val="single"/>
              </w:rPr>
            </w:pPr>
          </w:p>
        </w:tc>
      </w:tr>
      <w:tr w:rsidR="00F81089" w:rsidTr="00345119">
        <w:tc>
          <w:tcPr>
            <w:tcW w:w="9576" w:type="dxa"/>
          </w:tcPr>
          <w:p w:rsidR="008423E4" w:rsidRPr="00A8133F" w:rsidRDefault="00C52A2D" w:rsidP="0060386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C52A2D" w:rsidP="00603867"/>
          <w:p w:rsidR="00870436" w:rsidRDefault="00C52A2D" w:rsidP="0060386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</w:t>
            </w:r>
            <w:r>
              <w:t>additional rulemaking authority to a state officer, department, agency, or institution.</w:t>
            </w:r>
          </w:p>
          <w:p w:rsidR="008423E4" w:rsidRPr="00E21FDC" w:rsidRDefault="00C52A2D" w:rsidP="00603867">
            <w:pPr>
              <w:rPr>
                <w:b/>
              </w:rPr>
            </w:pPr>
          </w:p>
        </w:tc>
      </w:tr>
      <w:tr w:rsidR="00F81089" w:rsidTr="00345119">
        <w:tc>
          <w:tcPr>
            <w:tcW w:w="9576" w:type="dxa"/>
          </w:tcPr>
          <w:p w:rsidR="008423E4" w:rsidRPr="00A8133F" w:rsidRDefault="00C52A2D" w:rsidP="0060386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C52A2D" w:rsidP="00603867"/>
          <w:p w:rsidR="008423E4" w:rsidRDefault="00C52A2D" w:rsidP="0060386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1166 amends the Civil Practice and Remedies Code to </w:t>
            </w:r>
            <w:r>
              <w:t>extend the applicability of statutory provisions limit</w:t>
            </w:r>
            <w:r>
              <w:t>ing the</w:t>
            </w:r>
            <w:r>
              <w:t xml:space="preserve"> </w:t>
            </w:r>
            <w:r>
              <w:t xml:space="preserve">liability </w:t>
            </w:r>
            <w:r>
              <w:t xml:space="preserve">of </w:t>
            </w:r>
            <w:r>
              <w:t>an electric utility</w:t>
            </w:r>
            <w:r>
              <w:t xml:space="preserve"> loc</w:t>
            </w:r>
            <w:r>
              <w:t>ated</w:t>
            </w:r>
            <w:r>
              <w:t xml:space="preserve"> </w:t>
            </w:r>
            <w:r>
              <w:t xml:space="preserve">in a county with a population of four million or more </w:t>
            </w:r>
            <w:r>
              <w:t xml:space="preserve">relating to </w:t>
            </w:r>
            <w:r w:rsidRPr="00870436">
              <w:t>access</w:t>
            </w:r>
            <w:r>
              <w:t xml:space="preserve"> to</w:t>
            </w:r>
            <w:r w:rsidRPr="00870436">
              <w:t xml:space="preserve"> and use of the premises of the </w:t>
            </w:r>
            <w:r>
              <w:t xml:space="preserve">electric </w:t>
            </w:r>
            <w:r w:rsidRPr="00870436">
              <w:t>utility for recreation, exercise, relaxation, travel, or pleasure</w:t>
            </w:r>
            <w:r>
              <w:t xml:space="preserve"> </w:t>
            </w:r>
            <w:r>
              <w:t xml:space="preserve">to an electric utility located in </w:t>
            </w:r>
            <w:r w:rsidRPr="00870436">
              <w:t>a county with a population of 550,0</w:t>
            </w:r>
            <w:r w:rsidRPr="00870436">
              <w:t>00 or more that is adjacent to a county</w:t>
            </w:r>
            <w:r>
              <w:t xml:space="preserve"> with a population of four million or more</w:t>
            </w:r>
            <w:r>
              <w:t>.</w:t>
            </w:r>
          </w:p>
          <w:p w:rsidR="008423E4" w:rsidRPr="00835628" w:rsidRDefault="00C52A2D" w:rsidP="00603867">
            <w:pPr>
              <w:rPr>
                <w:b/>
              </w:rPr>
            </w:pPr>
          </w:p>
        </w:tc>
      </w:tr>
      <w:tr w:rsidR="00F81089" w:rsidTr="00345119">
        <w:tc>
          <w:tcPr>
            <w:tcW w:w="9576" w:type="dxa"/>
          </w:tcPr>
          <w:p w:rsidR="008423E4" w:rsidRPr="00A8133F" w:rsidRDefault="00C52A2D" w:rsidP="0060386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C52A2D" w:rsidP="00603867"/>
          <w:p w:rsidR="008423E4" w:rsidRPr="003624F2" w:rsidRDefault="00C52A2D" w:rsidP="0060386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2017.</w:t>
            </w:r>
          </w:p>
          <w:p w:rsidR="008423E4" w:rsidRPr="00233FDB" w:rsidRDefault="00C52A2D" w:rsidP="00603867">
            <w:pPr>
              <w:rPr>
                <w:b/>
              </w:rPr>
            </w:pPr>
          </w:p>
        </w:tc>
      </w:tr>
    </w:tbl>
    <w:p w:rsidR="008423E4" w:rsidRPr="00BE0E75" w:rsidRDefault="00C52A2D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C52A2D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2A2D">
      <w:r>
        <w:separator/>
      </w:r>
    </w:p>
  </w:endnote>
  <w:endnote w:type="continuationSeparator" w:id="0">
    <w:p w:rsidR="00000000" w:rsidRDefault="00C5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81089" w:rsidTr="009C1E9A">
      <w:trPr>
        <w:cantSplit/>
      </w:trPr>
      <w:tc>
        <w:tcPr>
          <w:tcW w:w="0" w:type="pct"/>
        </w:tcPr>
        <w:p w:rsidR="00137D90" w:rsidRDefault="00C52A2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C52A2D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C52A2D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C52A2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C52A2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81089" w:rsidTr="009C1E9A">
      <w:trPr>
        <w:cantSplit/>
      </w:trPr>
      <w:tc>
        <w:tcPr>
          <w:tcW w:w="0" w:type="pct"/>
        </w:tcPr>
        <w:p w:rsidR="00EC379B" w:rsidRDefault="00C52A2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C52A2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19281</w:t>
          </w:r>
        </w:p>
      </w:tc>
      <w:tc>
        <w:tcPr>
          <w:tcW w:w="2453" w:type="pct"/>
        </w:tcPr>
        <w:p w:rsidR="00EC379B" w:rsidRDefault="00C52A2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17.83.418</w:t>
          </w:r>
          <w:r>
            <w:fldChar w:fldCharType="end"/>
          </w:r>
        </w:p>
      </w:tc>
    </w:tr>
    <w:tr w:rsidR="00F81089" w:rsidTr="009C1E9A">
      <w:trPr>
        <w:cantSplit/>
      </w:trPr>
      <w:tc>
        <w:tcPr>
          <w:tcW w:w="0" w:type="pct"/>
        </w:tcPr>
        <w:p w:rsidR="00EC379B" w:rsidRDefault="00C52A2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C52A2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C52A2D" w:rsidP="006D504F">
          <w:pPr>
            <w:pStyle w:val="Footer"/>
            <w:rPr>
              <w:rStyle w:val="PageNumber"/>
            </w:rPr>
          </w:pPr>
        </w:p>
        <w:p w:rsidR="00EC379B" w:rsidRDefault="00C52A2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81089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C52A2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C52A2D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C52A2D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2A2D">
      <w:r>
        <w:separator/>
      </w:r>
    </w:p>
  </w:footnote>
  <w:footnote w:type="continuationSeparator" w:id="0">
    <w:p w:rsidR="00000000" w:rsidRDefault="00C52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89"/>
    <w:rsid w:val="00C52A2D"/>
    <w:rsid w:val="00F8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681C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1C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1CBA"/>
  </w:style>
  <w:style w:type="paragraph" w:styleId="CommentSubject">
    <w:name w:val="annotation subject"/>
    <w:basedOn w:val="CommentText"/>
    <w:next w:val="CommentText"/>
    <w:link w:val="CommentSubjectChar"/>
    <w:rsid w:val="00681C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1C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681C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1C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1CBA"/>
  </w:style>
  <w:style w:type="paragraph" w:styleId="CommentSubject">
    <w:name w:val="annotation subject"/>
    <w:basedOn w:val="CommentText"/>
    <w:next w:val="CommentText"/>
    <w:link w:val="CommentSubjectChar"/>
    <w:rsid w:val="00681C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1C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1349</Characters>
  <Application>Microsoft Office Word</Application>
  <DocSecurity>4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HB01166 (Committee Report (Unamended))</vt:lpstr>
    </vt:vector>
  </TitlesOfParts>
  <Company>State of Texas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19281</dc:subject>
  <dc:creator>State of Texas</dc:creator>
  <dc:description>HB 1166 by Stephenson-(H)Judiciary &amp; Civil Jurisprudence</dc:description>
  <cp:lastModifiedBy>Brianna Weis</cp:lastModifiedBy>
  <cp:revision>2</cp:revision>
  <cp:lastPrinted>2017-03-25T15:39:00Z</cp:lastPrinted>
  <dcterms:created xsi:type="dcterms:W3CDTF">2017-04-05T21:04:00Z</dcterms:created>
  <dcterms:modified xsi:type="dcterms:W3CDTF">2017-04-05T21:04:00Z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17.83.418</vt:lpwstr>
  </property>
</Properties>
</file>