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5825" w:rsidTr="00345119">
        <w:tc>
          <w:tcPr>
            <w:tcW w:w="9576" w:type="dxa"/>
            <w:noWrap/>
          </w:tcPr>
          <w:p w:rsidR="008423E4" w:rsidRPr="0022177D" w:rsidRDefault="003D6C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6CBF" w:rsidP="008423E4">
      <w:pPr>
        <w:jc w:val="center"/>
      </w:pPr>
    </w:p>
    <w:p w:rsidR="008423E4" w:rsidRPr="00B31F0E" w:rsidRDefault="003D6CBF" w:rsidP="008423E4"/>
    <w:p w:rsidR="008423E4" w:rsidRPr="00742794" w:rsidRDefault="003D6C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5825" w:rsidTr="00345119">
        <w:tc>
          <w:tcPr>
            <w:tcW w:w="9576" w:type="dxa"/>
          </w:tcPr>
          <w:p w:rsidR="008423E4" w:rsidRPr="00861995" w:rsidRDefault="003D6CBF" w:rsidP="00345119">
            <w:pPr>
              <w:jc w:val="right"/>
            </w:pPr>
            <w:r>
              <w:t>H.B. 1246</w:t>
            </w:r>
          </w:p>
        </w:tc>
      </w:tr>
      <w:tr w:rsidR="00F65825" w:rsidTr="00345119">
        <w:tc>
          <w:tcPr>
            <w:tcW w:w="9576" w:type="dxa"/>
          </w:tcPr>
          <w:p w:rsidR="008423E4" w:rsidRPr="00861995" w:rsidRDefault="003D6CBF" w:rsidP="00426303">
            <w:pPr>
              <w:jc w:val="right"/>
            </w:pPr>
            <w:r>
              <w:t xml:space="preserve">By: </w:t>
            </w:r>
            <w:r>
              <w:t>Anchia</w:t>
            </w:r>
          </w:p>
        </w:tc>
      </w:tr>
      <w:tr w:rsidR="00F65825" w:rsidTr="00345119">
        <w:tc>
          <w:tcPr>
            <w:tcW w:w="9576" w:type="dxa"/>
          </w:tcPr>
          <w:p w:rsidR="008423E4" w:rsidRPr="00861995" w:rsidRDefault="003D6CBF" w:rsidP="00345119">
            <w:pPr>
              <w:jc w:val="right"/>
            </w:pPr>
            <w:r>
              <w:t>Judiciary &amp; Civil Jurisprudence</w:t>
            </w:r>
          </w:p>
        </w:tc>
      </w:tr>
      <w:tr w:rsidR="00F65825" w:rsidTr="00345119">
        <w:tc>
          <w:tcPr>
            <w:tcW w:w="9576" w:type="dxa"/>
          </w:tcPr>
          <w:p w:rsidR="008423E4" w:rsidRDefault="003D6C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6CBF" w:rsidP="008423E4">
      <w:pPr>
        <w:tabs>
          <w:tab w:val="right" w:pos="9360"/>
        </w:tabs>
      </w:pPr>
    </w:p>
    <w:p w:rsidR="008423E4" w:rsidRDefault="003D6CBF" w:rsidP="008423E4"/>
    <w:p w:rsidR="008423E4" w:rsidRDefault="003D6C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5825" w:rsidTr="00345119">
        <w:tc>
          <w:tcPr>
            <w:tcW w:w="9576" w:type="dxa"/>
          </w:tcPr>
          <w:p w:rsidR="008423E4" w:rsidRPr="00A8133F" w:rsidRDefault="003D6CBF" w:rsidP="00F109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6CBF" w:rsidP="00F10913"/>
          <w:p w:rsidR="008423E4" w:rsidRDefault="003D6CBF" w:rsidP="00F10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persons wrongfully imprisoned before the law providing compensation for wrongful imprisonment went into effect should be eligible for that compensation. </w:t>
            </w:r>
            <w:r>
              <w:t xml:space="preserve">H.B. 1246 </w:t>
            </w:r>
            <w:r>
              <w:t xml:space="preserve">seeks to provide </w:t>
            </w:r>
            <w:r>
              <w:t xml:space="preserve">for </w:t>
            </w:r>
            <w:r>
              <w:t>this eligibility</w:t>
            </w:r>
            <w:r>
              <w:t>.</w:t>
            </w:r>
          </w:p>
          <w:p w:rsidR="008423E4" w:rsidRPr="00E26B13" w:rsidRDefault="003D6CBF" w:rsidP="00F10913">
            <w:pPr>
              <w:rPr>
                <w:b/>
              </w:rPr>
            </w:pPr>
          </w:p>
        </w:tc>
      </w:tr>
      <w:tr w:rsidR="00F65825" w:rsidTr="00345119">
        <w:tc>
          <w:tcPr>
            <w:tcW w:w="9576" w:type="dxa"/>
          </w:tcPr>
          <w:p w:rsidR="0017725B" w:rsidRDefault="003D6CBF" w:rsidP="00F109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:rsidR="0017725B" w:rsidRDefault="003D6CBF" w:rsidP="00F10913">
            <w:pPr>
              <w:rPr>
                <w:b/>
                <w:u w:val="single"/>
              </w:rPr>
            </w:pPr>
          </w:p>
          <w:p w:rsidR="00887FDD" w:rsidRPr="00887FDD" w:rsidRDefault="003D6CBF" w:rsidP="00F1091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</w:t>
            </w:r>
            <w:r>
              <w:t>ndatory supervision.</w:t>
            </w:r>
          </w:p>
          <w:p w:rsidR="0017725B" w:rsidRPr="0017725B" w:rsidRDefault="003D6CBF" w:rsidP="00F10913">
            <w:pPr>
              <w:rPr>
                <w:b/>
                <w:u w:val="single"/>
              </w:rPr>
            </w:pPr>
          </w:p>
        </w:tc>
      </w:tr>
      <w:tr w:rsidR="00F65825" w:rsidTr="00345119">
        <w:tc>
          <w:tcPr>
            <w:tcW w:w="9576" w:type="dxa"/>
          </w:tcPr>
          <w:p w:rsidR="008423E4" w:rsidRPr="00A8133F" w:rsidRDefault="003D6CBF" w:rsidP="00F109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6CBF" w:rsidP="00F10913"/>
          <w:p w:rsidR="00887FDD" w:rsidRDefault="003D6CBF" w:rsidP="00F10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D6CBF" w:rsidP="00F10913">
            <w:pPr>
              <w:rPr>
                <w:b/>
              </w:rPr>
            </w:pPr>
          </w:p>
        </w:tc>
      </w:tr>
      <w:tr w:rsidR="00F65825" w:rsidTr="00345119">
        <w:tc>
          <w:tcPr>
            <w:tcW w:w="9576" w:type="dxa"/>
          </w:tcPr>
          <w:p w:rsidR="008423E4" w:rsidRPr="00A8133F" w:rsidRDefault="003D6CBF" w:rsidP="00F109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6CBF" w:rsidP="00F10913"/>
          <w:p w:rsidR="00887FDD" w:rsidRDefault="003D6CBF" w:rsidP="00F10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1246 amends the Civil Practice and Remedies Code to </w:t>
            </w:r>
            <w:r>
              <w:t xml:space="preserve">establish that </w:t>
            </w:r>
            <w:r>
              <w:t xml:space="preserve">a wrongfully imprisoned person </w:t>
            </w:r>
            <w:r>
              <w:t>is not</w:t>
            </w:r>
            <w:r>
              <w:t xml:space="preserve"> entitle</w:t>
            </w:r>
            <w:r>
              <w:t>d</w:t>
            </w:r>
            <w:r>
              <w:t xml:space="preserve"> to compensation or </w:t>
            </w:r>
            <w:r>
              <w:t xml:space="preserve">to </w:t>
            </w:r>
            <w:r>
              <w:t>group health benefit plan coverage</w:t>
            </w:r>
            <w:r>
              <w:t xml:space="preserve"> under state law</w:t>
            </w:r>
            <w:r>
              <w:t xml:space="preserve"> for any part of a sentence in prison during which the person was also serving a concurrent sentence for another wrongful conviction for which the person has already received such compensation or coverage. The bill </w:t>
            </w:r>
            <w:r>
              <w:t xml:space="preserve">adds </w:t>
            </w:r>
            <w:r>
              <w:t>a temporary provision</w:t>
            </w:r>
            <w:r>
              <w:t>,</w:t>
            </w:r>
            <w:r>
              <w:t xml:space="preserve"> set to expire</w:t>
            </w:r>
            <w:r>
              <w:t xml:space="preserve"> September 2, 2020, </w:t>
            </w:r>
            <w:r>
              <w:t xml:space="preserve">to </w:t>
            </w:r>
            <w:r>
              <w:t>authoriz</w:t>
            </w:r>
            <w:r>
              <w:t>e</w:t>
            </w:r>
            <w:r>
              <w:t xml:space="preserve"> </w:t>
            </w:r>
            <w:r>
              <w:t xml:space="preserve">a person seeking compensation </w:t>
            </w:r>
            <w:r>
              <w:t xml:space="preserve">for wrongful imprisonment who received or was granted </w:t>
            </w:r>
            <w:r>
              <w:t xml:space="preserve">the applicable pardon or </w:t>
            </w:r>
            <w:r>
              <w:t>relief before September 1, 1998, and who has not previously received compensation</w:t>
            </w:r>
            <w:r>
              <w:t xml:space="preserve"> under statutory provisions gover</w:t>
            </w:r>
            <w:r>
              <w:t>ning compensation to wrongfully imprisoned persons or under certain former provisions of Vernon's Texas Civil Statutes governing such compensation</w:t>
            </w:r>
            <w:r>
              <w:t xml:space="preserve"> that were codified as those statutory provisions effective September 1, 1985</w:t>
            </w:r>
            <w:r>
              <w:t>,</w:t>
            </w:r>
            <w:r>
              <w:t xml:space="preserve"> to file an application with the</w:t>
            </w:r>
            <w:r>
              <w:t xml:space="preserve"> comptroller </w:t>
            </w:r>
            <w:r>
              <w:t xml:space="preserve">of public accounts </w:t>
            </w:r>
            <w:r>
              <w:t xml:space="preserve">for compensation </w:t>
            </w:r>
            <w:r>
              <w:t>not later</w:t>
            </w:r>
            <w:r>
              <w:t xml:space="preserve"> </w:t>
            </w:r>
            <w:r>
              <w:t>than September 1, 20</w:t>
            </w:r>
            <w:r>
              <w:t>20.</w:t>
            </w:r>
            <w:r>
              <w:t xml:space="preserve"> </w:t>
            </w:r>
          </w:p>
          <w:p w:rsidR="008423E4" w:rsidRPr="00835628" w:rsidRDefault="003D6CBF" w:rsidP="00F10913">
            <w:pPr>
              <w:rPr>
                <w:b/>
              </w:rPr>
            </w:pPr>
          </w:p>
        </w:tc>
      </w:tr>
      <w:tr w:rsidR="00F65825" w:rsidTr="00345119">
        <w:tc>
          <w:tcPr>
            <w:tcW w:w="9576" w:type="dxa"/>
          </w:tcPr>
          <w:p w:rsidR="008423E4" w:rsidRPr="00A8133F" w:rsidRDefault="003D6CBF" w:rsidP="00F109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6CBF" w:rsidP="00F10913"/>
          <w:p w:rsidR="008423E4" w:rsidRPr="003624F2" w:rsidRDefault="003D6CBF" w:rsidP="00F109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D6CBF" w:rsidP="00F10913">
            <w:pPr>
              <w:rPr>
                <w:b/>
              </w:rPr>
            </w:pPr>
          </w:p>
        </w:tc>
      </w:tr>
    </w:tbl>
    <w:p w:rsidR="008423E4" w:rsidRPr="00BE0E75" w:rsidRDefault="003D6C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6CB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CBF">
      <w:r>
        <w:separator/>
      </w:r>
    </w:p>
  </w:endnote>
  <w:endnote w:type="continuationSeparator" w:id="0">
    <w:p w:rsidR="00000000" w:rsidRDefault="003D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B" w:rsidRDefault="003D6C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5825" w:rsidTr="009C1E9A">
      <w:trPr>
        <w:cantSplit/>
      </w:trPr>
      <w:tc>
        <w:tcPr>
          <w:tcW w:w="0" w:type="pct"/>
        </w:tcPr>
        <w:p w:rsidR="00137D90" w:rsidRDefault="003D6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6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6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6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6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825" w:rsidTr="009C1E9A">
      <w:trPr>
        <w:cantSplit/>
      </w:trPr>
      <w:tc>
        <w:tcPr>
          <w:tcW w:w="0" w:type="pct"/>
        </w:tcPr>
        <w:p w:rsidR="00EC379B" w:rsidRDefault="003D6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6C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25182</w:t>
          </w:r>
        </w:p>
      </w:tc>
      <w:tc>
        <w:tcPr>
          <w:tcW w:w="2453" w:type="pct"/>
        </w:tcPr>
        <w:p w:rsidR="00EC379B" w:rsidRDefault="003D6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17.113.245</w:t>
          </w:r>
          <w:r>
            <w:fldChar w:fldCharType="end"/>
          </w:r>
        </w:p>
      </w:tc>
    </w:tr>
    <w:tr w:rsidR="00F65825" w:rsidTr="009C1E9A">
      <w:trPr>
        <w:cantSplit/>
      </w:trPr>
      <w:tc>
        <w:tcPr>
          <w:tcW w:w="0" w:type="pct"/>
        </w:tcPr>
        <w:p w:rsidR="00EC379B" w:rsidRDefault="003D6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6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6CBF" w:rsidP="006D504F">
          <w:pPr>
            <w:pStyle w:val="Footer"/>
            <w:rPr>
              <w:rStyle w:val="PageNumber"/>
            </w:rPr>
          </w:pPr>
        </w:p>
        <w:p w:rsidR="00EC379B" w:rsidRDefault="003D6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58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6C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6C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6C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B" w:rsidRDefault="003D6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CBF">
      <w:r>
        <w:separator/>
      </w:r>
    </w:p>
  </w:footnote>
  <w:footnote w:type="continuationSeparator" w:id="0">
    <w:p w:rsidR="00000000" w:rsidRDefault="003D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B" w:rsidRDefault="003D6C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B" w:rsidRDefault="003D6C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B" w:rsidRDefault="003D6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5"/>
    <w:rsid w:val="003D6CBF"/>
    <w:rsid w:val="00F6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7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FDD"/>
  </w:style>
  <w:style w:type="paragraph" w:styleId="CommentSubject">
    <w:name w:val="annotation subject"/>
    <w:basedOn w:val="CommentText"/>
    <w:next w:val="CommentText"/>
    <w:link w:val="CommentSubjectChar"/>
    <w:rsid w:val="0088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87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FDD"/>
  </w:style>
  <w:style w:type="paragraph" w:styleId="CommentSubject">
    <w:name w:val="annotation subject"/>
    <w:basedOn w:val="CommentText"/>
    <w:next w:val="CommentText"/>
    <w:link w:val="CommentSubjectChar"/>
    <w:rsid w:val="00887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7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HB01246 (Committee Report (Unamended))</vt:lpstr>
    </vt:vector>
  </TitlesOfParts>
  <Company>State of Texas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25182</dc:subject>
  <dc:creator>State of Texas</dc:creator>
  <dc:description>HB 1246 by Anchia-(H)Judiciary &amp; Civil Jurisprudence</dc:description>
  <cp:lastModifiedBy>Brianna Weis</cp:lastModifiedBy>
  <cp:revision>2</cp:revision>
  <cp:lastPrinted>2003-11-26T17:21:00Z</cp:lastPrinted>
  <dcterms:created xsi:type="dcterms:W3CDTF">2017-05-05T01:35:00Z</dcterms:created>
  <dcterms:modified xsi:type="dcterms:W3CDTF">2017-05-05T01:35:00Z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17.113.245</vt:lpwstr>
  </property>
</Properties>
</file>