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F5F80" w:rsidTr="00345119">
        <w:tc>
          <w:tcPr>
            <w:tcW w:w="9576" w:type="dxa"/>
            <w:noWrap/>
          </w:tcPr>
          <w:p w:rsidR="008423E4" w:rsidRPr="0022177D" w:rsidRDefault="005C6256" w:rsidP="00345119">
            <w:pPr>
              <w:pStyle w:val="Heading1"/>
            </w:pPr>
            <w:bookmarkStart w:id="0" w:name="_GoBack"/>
            <w:bookmarkEnd w:id="0"/>
            <w:r w:rsidRPr="00631897">
              <w:t>BILL ANALYSIS</w:t>
            </w:r>
          </w:p>
        </w:tc>
      </w:tr>
    </w:tbl>
    <w:p w:rsidR="008423E4" w:rsidRPr="0022177D" w:rsidRDefault="005C6256" w:rsidP="008423E4">
      <w:pPr>
        <w:jc w:val="center"/>
      </w:pPr>
    </w:p>
    <w:p w:rsidR="008423E4" w:rsidRPr="00B31F0E" w:rsidRDefault="005C6256" w:rsidP="008423E4"/>
    <w:p w:rsidR="008423E4" w:rsidRPr="00742794" w:rsidRDefault="005C6256" w:rsidP="008423E4">
      <w:pPr>
        <w:tabs>
          <w:tab w:val="right" w:pos="9360"/>
        </w:tabs>
      </w:pPr>
    </w:p>
    <w:tbl>
      <w:tblPr>
        <w:tblW w:w="0" w:type="auto"/>
        <w:tblLayout w:type="fixed"/>
        <w:tblLook w:val="01E0" w:firstRow="1" w:lastRow="1" w:firstColumn="1" w:lastColumn="1" w:noHBand="0" w:noVBand="0"/>
      </w:tblPr>
      <w:tblGrid>
        <w:gridCol w:w="9576"/>
      </w:tblGrid>
      <w:tr w:rsidR="004F5F80" w:rsidTr="00345119">
        <w:tc>
          <w:tcPr>
            <w:tcW w:w="9576" w:type="dxa"/>
          </w:tcPr>
          <w:p w:rsidR="008423E4" w:rsidRPr="00861995" w:rsidRDefault="005C6256" w:rsidP="00345119">
            <w:pPr>
              <w:jc w:val="right"/>
            </w:pPr>
            <w:r>
              <w:t>H.B. 1266</w:t>
            </w:r>
          </w:p>
        </w:tc>
      </w:tr>
      <w:tr w:rsidR="004F5F80" w:rsidTr="00345119">
        <w:tc>
          <w:tcPr>
            <w:tcW w:w="9576" w:type="dxa"/>
          </w:tcPr>
          <w:p w:rsidR="008423E4" w:rsidRPr="00861995" w:rsidRDefault="005C6256" w:rsidP="0071517C">
            <w:pPr>
              <w:jc w:val="right"/>
            </w:pPr>
            <w:r>
              <w:t xml:space="preserve">By: </w:t>
            </w:r>
            <w:r>
              <w:t>Geren</w:t>
            </w:r>
          </w:p>
        </w:tc>
      </w:tr>
      <w:tr w:rsidR="004F5F80" w:rsidTr="00345119">
        <w:tc>
          <w:tcPr>
            <w:tcW w:w="9576" w:type="dxa"/>
          </w:tcPr>
          <w:p w:rsidR="008423E4" w:rsidRPr="00861995" w:rsidRDefault="005C6256" w:rsidP="00345119">
            <w:pPr>
              <w:jc w:val="right"/>
            </w:pPr>
            <w:r>
              <w:t>Criminal Jurisprudence</w:t>
            </w:r>
          </w:p>
        </w:tc>
      </w:tr>
      <w:tr w:rsidR="004F5F80" w:rsidTr="00345119">
        <w:tc>
          <w:tcPr>
            <w:tcW w:w="9576" w:type="dxa"/>
          </w:tcPr>
          <w:p w:rsidR="008423E4" w:rsidRDefault="005C6256" w:rsidP="00345119">
            <w:pPr>
              <w:jc w:val="right"/>
            </w:pPr>
            <w:r>
              <w:t>Committee Report (Unamended)</w:t>
            </w:r>
          </w:p>
        </w:tc>
      </w:tr>
    </w:tbl>
    <w:p w:rsidR="008423E4" w:rsidRDefault="005C6256" w:rsidP="008423E4">
      <w:pPr>
        <w:tabs>
          <w:tab w:val="right" w:pos="9360"/>
        </w:tabs>
      </w:pPr>
    </w:p>
    <w:p w:rsidR="008423E4" w:rsidRDefault="005C6256" w:rsidP="008423E4"/>
    <w:p w:rsidR="008423E4" w:rsidRDefault="005C6256" w:rsidP="008423E4"/>
    <w:tbl>
      <w:tblPr>
        <w:tblW w:w="0" w:type="auto"/>
        <w:tblCellMar>
          <w:left w:w="115" w:type="dxa"/>
          <w:right w:w="115" w:type="dxa"/>
        </w:tblCellMar>
        <w:tblLook w:val="01E0" w:firstRow="1" w:lastRow="1" w:firstColumn="1" w:lastColumn="1" w:noHBand="0" w:noVBand="0"/>
      </w:tblPr>
      <w:tblGrid>
        <w:gridCol w:w="9576"/>
      </w:tblGrid>
      <w:tr w:rsidR="004F5F80" w:rsidTr="00345119">
        <w:tc>
          <w:tcPr>
            <w:tcW w:w="9576" w:type="dxa"/>
          </w:tcPr>
          <w:p w:rsidR="008423E4" w:rsidRPr="00A8133F" w:rsidRDefault="005C6256" w:rsidP="00FB0CB1">
            <w:pPr>
              <w:rPr>
                <w:b/>
              </w:rPr>
            </w:pPr>
            <w:r w:rsidRPr="009C1E9A">
              <w:rPr>
                <w:b/>
                <w:u w:val="single"/>
              </w:rPr>
              <w:t>BACKGROUND AND PURPOSE</w:t>
            </w:r>
            <w:r>
              <w:rPr>
                <w:b/>
              </w:rPr>
              <w:t xml:space="preserve"> </w:t>
            </w:r>
          </w:p>
          <w:p w:rsidR="008423E4" w:rsidRDefault="005C6256" w:rsidP="00FB0CB1"/>
          <w:p w:rsidR="008423E4" w:rsidRDefault="005C6256" w:rsidP="00FB0CB1">
            <w:pPr>
              <w:pStyle w:val="Header"/>
              <w:tabs>
                <w:tab w:val="clear" w:pos="4320"/>
                <w:tab w:val="clear" w:pos="8640"/>
              </w:tabs>
              <w:jc w:val="both"/>
            </w:pPr>
            <w:r>
              <w:t xml:space="preserve">Interested parties </w:t>
            </w:r>
            <w:r>
              <w:t>contend</w:t>
            </w:r>
            <w:r>
              <w:t xml:space="preserve"> that</w:t>
            </w:r>
            <w:r>
              <w:t xml:space="preserve"> </w:t>
            </w:r>
            <w:r>
              <w:t>it</w:t>
            </w:r>
            <w:r>
              <w:t xml:space="preserve"> is</w:t>
            </w:r>
            <w:r>
              <w:t xml:space="preserve"> </w:t>
            </w:r>
            <w:r>
              <w:t>problematic when a</w:t>
            </w:r>
            <w:r>
              <w:t xml:space="preserve"> trial court </w:t>
            </w:r>
            <w:r>
              <w:t>sets</w:t>
            </w:r>
            <w:r>
              <w:t xml:space="preserve"> certain pre-trial motions without providing notice to either the state or the defense </w:t>
            </w:r>
            <w:r>
              <w:t>as</w:t>
            </w:r>
            <w:r>
              <w:t xml:space="preserve"> </w:t>
            </w:r>
            <w:r>
              <w:t xml:space="preserve">this </w:t>
            </w:r>
            <w:r>
              <w:t>leaves little time for witnesses to be contacted and for attorneys to prepare before being called into a hearing.</w:t>
            </w:r>
            <w:r>
              <w:t xml:space="preserve"> H.B.</w:t>
            </w:r>
            <w:r>
              <w:t xml:space="preserve"> </w:t>
            </w:r>
            <w:r>
              <w:t xml:space="preserve">1266 seeks to </w:t>
            </w:r>
            <w:r>
              <w:t>provide for notice to the pa</w:t>
            </w:r>
            <w:r>
              <w:t>rties</w:t>
            </w:r>
            <w:r>
              <w:t xml:space="preserve"> in the case</w:t>
            </w:r>
            <w:r>
              <w:t xml:space="preserve"> </w:t>
            </w:r>
            <w:r>
              <w:t xml:space="preserve">to ensure </w:t>
            </w:r>
            <w:r>
              <w:t xml:space="preserve">that </w:t>
            </w:r>
            <w:r>
              <w:t>all parties are able to properly prepare</w:t>
            </w:r>
            <w:r>
              <w:t>.</w:t>
            </w:r>
          </w:p>
          <w:p w:rsidR="008423E4" w:rsidRPr="00E26B13" w:rsidRDefault="005C6256" w:rsidP="00FB0CB1">
            <w:pPr>
              <w:rPr>
                <w:b/>
              </w:rPr>
            </w:pPr>
          </w:p>
        </w:tc>
      </w:tr>
      <w:tr w:rsidR="004F5F80" w:rsidTr="00345119">
        <w:tc>
          <w:tcPr>
            <w:tcW w:w="9576" w:type="dxa"/>
          </w:tcPr>
          <w:p w:rsidR="0017725B" w:rsidRDefault="005C6256" w:rsidP="00FB0CB1">
            <w:pPr>
              <w:rPr>
                <w:b/>
                <w:u w:val="single"/>
              </w:rPr>
            </w:pPr>
            <w:r>
              <w:rPr>
                <w:b/>
                <w:u w:val="single"/>
              </w:rPr>
              <w:t>CRIMINAL JUSTICE IMPACT</w:t>
            </w:r>
          </w:p>
          <w:p w:rsidR="0017725B" w:rsidRDefault="005C6256" w:rsidP="00FB0CB1">
            <w:pPr>
              <w:rPr>
                <w:b/>
                <w:u w:val="single"/>
              </w:rPr>
            </w:pPr>
          </w:p>
          <w:p w:rsidR="00A906BC" w:rsidRPr="00A906BC" w:rsidRDefault="005C6256" w:rsidP="00FB0CB1">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5C6256" w:rsidP="00FB0CB1">
            <w:pPr>
              <w:rPr>
                <w:b/>
                <w:u w:val="single"/>
              </w:rPr>
            </w:pPr>
          </w:p>
        </w:tc>
      </w:tr>
      <w:tr w:rsidR="004F5F80" w:rsidTr="00345119">
        <w:tc>
          <w:tcPr>
            <w:tcW w:w="9576" w:type="dxa"/>
          </w:tcPr>
          <w:p w:rsidR="008423E4" w:rsidRPr="00A8133F" w:rsidRDefault="005C6256" w:rsidP="00FB0CB1">
            <w:pPr>
              <w:rPr>
                <w:b/>
              </w:rPr>
            </w:pPr>
            <w:r w:rsidRPr="009C1E9A">
              <w:rPr>
                <w:b/>
                <w:u w:val="single"/>
              </w:rPr>
              <w:t>RULEMAKING AUTHORITY</w:t>
            </w:r>
            <w:r>
              <w:rPr>
                <w:b/>
              </w:rPr>
              <w:t xml:space="preserve"> </w:t>
            </w:r>
          </w:p>
          <w:p w:rsidR="008423E4" w:rsidRDefault="005C6256" w:rsidP="00FB0CB1"/>
          <w:p w:rsidR="00A906BC" w:rsidRDefault="005C6256" w:rsidP="00FB0CB1">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5C6256" w:rsidP="00FB0CB1">
            <w:pPr>
              <w:rPr>
                <w:b/>
              </w:rPr>
            </w:pPr>
          </w:p>
        </w:tc>
      </w:tr>
      <w:tr w:rsidR="004F5F80" w:rsidTr="00345119">
        <w:tc>
          <w:tcPr>
            <w:tcW w:w="9576" w:type="dxa"/>
          </w:tcPr>
          <w:p w:rsidR="008423E4" w:rsidRPr="00A8133F" w:rsidRDefault="005C6256" w:rsidP="00FB0CB1">
            <w:pPr>
              <w:rPr>
                <w:b/>
              </w:rPr>
            </w:pPr>
            <w:r w:rsidRPr="009C1E9A">
              <w:rPr>
                <w:b/>
                <w:u w:val="single"/>
              </w:rPr>
              <w:t>ANALYSIS</w:t>
            </w:r>
            <w:r>
              <w:rPr>
                <w:b/>
              </w:rPr>
              <w:t xml:space="preserve"> </w:t>
            </w:r>
          </w:p>
          <w:p w:rsidR="008423E4" w:rsidRDefault="005C6256" w:rsidP="00FB0CB1"/>
          <w:p w:rsidR="00A906BC" w:rsidRDefault="005C6256" w:rsidP="00FB0CB1">
            <w:pPr>
              <w:pStyle w:val="Header"/>
              <w:tabs>
                <w:tab w:val="clear" w:pos="4320"/>
                <w:tab w:val="clear" w:pos="8640"/>
              </w:tabs>
              <w:jc w:val="both"/>
            </w:pPr>
            <w:r>
              <w:t xml:space="preserve">H.B. 1266 amends the Code of Criminal Procedure to require a trial court to </w:t>
            </w:r>
            <w:r w:rsidRPr="00A642C1">
              <w:t xml:space="preserve">grant a continuance of a criminal action on oral or written motion of the state or the defendant if the trial court </w:t>
            </w:r>
            <w:r w:rsidRPr="00A642C1">
              <w:t>sets a hearing or trial without providing to the attorney for the state and the defendant, or the defendant's attorney, notice of the hearing or trial at least three business days before the date of the hearing or trial.</w:t>
            </w:r>
            <w:r>
              <w:t xml:space="preserve"> The bill </w:t>
            </w:r>
            <w:r>
              <w:t>excludes</w:t>
            </w:r>
            <w:r>
              <w:t xml:space="preserve"> the period betwee</w:t>
            </w:r>
            <w:r>
              <w:t xml:space="preserve">n the date the </w:t>
            </w:r>
            <w:r>
              <w:t xml:space="preserve">trial </w:t>
            </w:r>
            <w:r>
              <w:t>begins and the date the judgment is entered</w:t>
            </w:r>
            <w:r>
              <w:t xml:space="preserve"> from this requirement and </w:t>
            </w:r>
            <w:r>
              <w:t xml:space="preserve">applies to a </w:t>
            </w:r>
            <w:r w:rsidRPr="00A906BC">
              <w:t xml:space="preserve">criminal action pending before a trial court on or after the </w:t>
            </w:r>
            <w:r>
              <w:t xml:space="preserve">bill's </w:t>
            </w:r>
            <w:r w:rsidRPr="00A906BC">
              <w:t>effective date</w:t>
            </w:r>
            <w:r>
              <w:t>,</w:t>
            </w:r>
            <w:r w:rsidRPr="00A906BC">
              <w:t xml:space="preserve"> regardless of whether the offense that is the subject of the action </w:t>
            </w:r>
            <w:r w:rsidRPr="00A906BC">
              <w:t xml:space="preserve">was committed before, on, or after the </w:t>
            </w:r>
            <w:r>
              <w:t xml:space="preserve">bill's </w:t>
            </w:r>
            <w:r w:rsidRPr="00A906BC">
              <w:t>effective date.</w:t>
            </w:r>
          </w:p>
          <w:p w:rsidR="008423E4" w:rsidRPr="00835628" w:rsidRDefault="005C6256" w:rsidP="00FB0CB1">
            <w:pPr>
              <w:rPr>
                <w:b/>
              </w:rPr>
            </w:pPr>
          </w:p>
        </w:tc>
      </w:tr>
      <w:tr w:rsidR="004F5F80" w:rsidTr="00345119">
        <w:tc>
          <w:tcPr>
            <w:tcW w:w="9576" w:type="dxa"/>
          </w:tcPr>
          <w:p w:rsidR="008423E4" w:rsidRPr="00A8133F" w:rsidRDefault="005C6256" w:rsidP="00FB0CB1">
            <w:pPr>
              <w:rPr>
                <w:b/>
              </w:rPr>
            </w:pPr>
            <w:r w:rsidRPr="009C1E9A">
              <w:rPr>
                <w:b/>
                <w:u w:val="single"/>
              </w:rPr>
              <w:t>EFFECTIVE DATE</w:t>
            </w:r>
            <w:r>
              <w:rPr>
                <w:b/>
              </w:rPr>
              <w:t xml:space="preserve"> </w:t>
            </w:r>
          </w:p>
          <w:p w:rsidR="008423E4" w:rsidRDefault="005C6256" w:rsidP="00FB0CB1"/>
          <w:p w:rsidR="008423E4" w:rsidRPr="00FB0173" w:rsidRDefault="005C6256" w:rsidP="00FB0CB1">
            <w:pPr>
              <w:pStyle w:val="Header"/>
              <w:tabs>
                <w:tab w:val="clear" w:pos="4320"/>
                <w:tab w:val="clear" w:pos="8640"/>
              </w:tabs>
              <w:jc w:val="both"/>
            </w:pPr>
            <w:r>
              <w:t>September 1, 2017.</w:t>
            </w:r>
          </w:p>
        </w:tc>
      </w:tr>
    </w:tbl>
    <w:p w:rsidR="004108C3" w:rsidRPr="008423E4" w:rsidRDefault="005C625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256">
      <w:r>
        <w:separator/>
      </w:r>
    </w:p>
  </w:endnote>
  <w:endnote w:type="continuationSeparator" w:id="0">
    <w:p w:rsidR="00000000" w:rsidRDefault="005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F5F80" w:rsidTr="009C1E9A">
      <w:trPr>
        <w:cantSplit/>
      </w:trPr>
      <w:tc>
        <w:tcPr>
          <w:tcW w:w="0" w:type="pct"/>
        </w:tcPr>
        <w:p w:rsidR="00137D90" w:rsidRDefault="005C6256" w:rsidP="009C1E9A">
          <w:pPr>
            <w:pStyle w:val="Footer"/>
            <w:tabs>
              <w:tab w:val="clear" w:pos="8640"/>
              <w:tab w:val="right" w:pos="9360"/>
            </w:tabs>
          </w:pPr>
        </w:p>
      </w:tc>
      <w:tc>
        <w:tcPr>
          <w:tcW w:w="2395" w:type="pct"/>
        </w:tcPr>
        <w:p w:rsidR="00137D90" w:rsidRDefault="005C6256" w:rsidP="009C1E9A">
          <w:pPr>
            <w:pStyle w:val="Footer"/>
            <w:tabs>
              <w:tab w:val="clear" w:pos="8640"/>
              <w:tab w:val="right" w:pos="9360"/>
            </w:tabs>
          </w:pPr>
        </w:p>
        <w:p w:rsidR="001A4310" w:rsidRDefault="005C6256" w:rsidP="009C1E9A">
          <w:pPr>
            <w:pStyle w:val="Footer"/>
            <w:tabs>
              <w:tab w:val="clear" w:pos="8640"/>
              <w:tab w:val="right" w:pos="9360"/>
            </w:tabs>
          </w:pPr>
        </w:p>
        <w:p w:rsidR="00137D90" w:rsidRDefault="005C6256" w:rsidP="009C1E9A">
          <w:pPr>
            <w:pStyle w:val="Footer"/>
            <w:tabs>
              <w:tab w:val="clear" w:pos="8640"/>
              <w:tab w:val="right" w:pos="9360"/>
            </w:tabs>
          </w:pPr>
        </w:p>
      </w:tc>
      <w:tc>
        <w:tcPr>
          <w:tcW w:w="2453" w:type="pct"/>
        </w:tcPr>
        <w:p w:rsidR="00137D90" w:rsidRDefault="005C6256" w:rsidP="009C1E9A">
          <w:pPr>
            <w:pStyle w:val="Footer"/>
            <w:tabs>
              <w:tab w:val="clear" w:pos="8640"/>
              <w:tab w:val="right" w:pos="9360"/>
            </w:tabs>
            <w:jc w:val="right"/>
          </w:pPr>
        </w:p>
      </w:tc>
    </w:tr>
    <w:tr w:rsidR="004F5F80" w:rsidTr="009C1E9A">
      <w:trPr>
        <w:cantSplit/>
      </w:trPr>
      <w:tc>
        <w:tcPr>
          <w:tcW w:w="0" w:type="pct"/>
        </w:tcPr>
        <w:p w:rsidR="00EC379B" w:rsidRDefault="005C6256" w:rsidP="009C1E9A">
          <w:pPr>
            <w:pStyle w:val="Footer"/>
            <w:tabs>
              <w:tab w:val="clear" w:pos="8640"/>
              <w:tab w:val="right" w:pos="9360"/>
            </w:tabs>
          </w:pPr>
        </w:p>
      </w:tc>
      <w:tc>
        <w:tcPr>
          <w:tcW w:w="2395" w:type="pct"/>
        </w:tcPr>
        <w:p w:rsidR="00EC379B" w:rsidRPr="009C1E9A" w:rsidRDefault="005C6256" w:rsidP="009C1E9A">
          <w:pPr>
            <w:pStyle w:val="Footer"/>
            <w:tabs>
              <w:tab w:val="clear" w:pos="8640"/>
              <w:tab w:val="right" w:pos="9360"/>
            </w:tabs>
            <w:rPr>
              <w:rFonts w:ascii="Shruti" w:hAnsi="Shruti"/>
              <w:sz w:val="22"/>
            </w:rPr>
          </w:pPr>
          <w:r>
            <w:rPr>
              <w:rFonts w:ascii="Shruti" w:hAnsi="Shruti"/>
              <w:sz w:val="22"/>
            </w:rPr>
            <w:t>85R 19022</w:t>
          </w:r>
        </w:p>
      </w:tc>
      <w:tc>
        <w:tcPr>
          <w:tcW w:w="2453" w:type="pct"/>
        </w:tcPr>
        <w:p w:rsidR="00EC379B" w:rsidRDefault="005C6256" w:rsidP="009C1E9A">
          <w:pPr>
            <w:pStyle w:val="Footer"/>
            <w:tabs>
              <w:tab w:val="clear" w:pos="8640"/>
              <w:tab w:val="right" w:pos="9360"/>
            </w:tabs>
            <w:jc w:val="right"/>
          </w:pPr>
          <w:r>
            <w:fldChar w:fldCharType="begin"/>
          </w:r>
          <w:r>
            <w:instrText xml:space="preserve"> DOCPROPERTY  OTID  \* MERGEFORMAT </w:instrText>
          </w:r>
          <w:r>
            <w:fldChar w:fldCharType="separate"/>
          </w:r>
          <w:r>
            <w:t>17.82.171</w:t>
          </w:r>
          <w:r>
            <w:fldChar w:fldCharType="end"/>
          </w:r>
        </w:p>
      </w:tc>
    </w:tr>
    <w:tr w:rsidR="004F5F80" w:rsidTr="009C1E9A">
      <w:trPr>
        <w:cantSplit/>
      </w:trPr>
      <w:tc>
        <w:tcPr>
          <w:tcW w:w="0" w:type="pct"/>
        </w:tcPr>
        <w:p w:rsidR="00EC379B" w:rsidRDefault="005C6256" w:rsidP="009C1E9A">
          <w:pPr>
            <w:pStyle w:val="Footer"/>
            <w:tabs>
              <w:tab w:val="clear" w:pos="4320"/>
              <w:tab w:val="clear" w:pos="8640"/>
              <w:tab w:val="left" w:pos="2865"/>
            </w:tabs>
          </w:pPr>
        </w:p>
      </w:tc>
      <w:tc>
        <w:tcPr>
          <w:tcW w:w="2395" w:type="pct"/>
        </w:tcPr>
        <w:p w:rsidR="00EC379B" w:rsidRPr="009C1E9A" w:rsidRDefault="005C6256" w:rsidP="009C1E9A">
          <w:pPr>
            <w:pStyle w:val="Footer"/>
            <w:tabs>
              <w:tab w:val="clear" w:pos="4320"/>
              <w:tab w:val="clear" w:pos="8640"/>
              <w:tab w:val="left" w:pos="2865"/>
            </w:tabs>
            <w:rPr>
              <w:rFonts w:ascii="Shruti" w:hAnsi="Shruti"/>
              <w:sz w:val="22"/>
            </w:rPr>
          </w:pPr>
        </w:p>
      </w:tc>
      <w:tc>
        <w:tcPr>
          <w:tcW w:w="2453" w:type="pct"/>
        </w:tcPr>
        <w:p w:rsidR="00EC379B" w:rsidRDefault="005C6256" w:rsidP="006D504F">
          <w:pPr>
            <w:pStyle w:val="Footer"/>
            <w:rPr>
              <w:rStyle w:val="PageNumber"/>
            </w:rPr>
          </w:pPr>
        </w:p>
        <w:p w:rsidR="00EC379B" w:rsidRDefault="005C6256" w:rsidP="009C1E9A">
          <w:pPr>
            <w:pStyle w:val="Footer"/>
            <w:tabs>
              <w:tab w:val="clear" w:pos="8640"/>
              <w:tab w:val="right" w:pos="9360"/>
            </w:tabs>
            <w:jc w:val="right"/>
          </w:pPr>
        </w:p>
      </w:tc>
    </w:tr>
    <w:tr w:rsidR="004F5F80" w:rsidTr="009C1E9A">
      <w:trPr>
        <w:cantSplit/>
        <w:trHeight w:val="323"/>
      </w:trPr>
      <w:tc>
        <w:tcPr>
          <w:tcW w:w="0" w:type="pct"/>
          <w:gridSpan w:val="3"/>
        </w:tcPr>
        <w:p w:rsidR="00EC379B" w:rsidRDefault="005C62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6256" w:rsidP="009C1E9A">
          <w:pPr>
            <w:pStyle w:val="Footer"/>
            <w:tabs>
              <w:tab w:val="clear" w:pos="8640"/>
              <w:tab w:val="right" w:pos="9360"/>
            </w:tabs>
            <w:jc w:val="center"/>
          </w:pPr>
        </w:p>
      </w:tc>
    </w:tr>
  </w:tbl>
  <w:p w:rsidR="00EC379B" w:rsidRPr="00FF6F72" w:rsidRDefault="005C625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256">
      <w:r>
        <w:separator/>
      </w:r>
    </w:p>
  </w:footnote>
  <w:footnote w:type="continuationSeparator" w:id="0">
    <w:p w:rsidR="00000000" w:rsidRDefault="005C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80"/>
    <w:rsid w:val="004F5F80"/>
    <w:rsid w:val="005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906BC"/>
    <w:rPr>
      <w:sz w:val="16"/>
      <w:szCs w:val="16"/>
    </w:rPr>
  </w:style>
  <w:style w:type="paragraph" w:styleId="CommentText">
    <w:name w:val="annotation text"/>
    <w:basedOn w:val="Normal"/>
    <w:link w:val="CommentTextChar"/>
    <w:rsid w:val="00A906BC"/>
    <w:rPr>
      <w:sz w:val="20"/>
      <w:szCs w:val="20"/>
    </w:rPr>
  </w:style>
  <w:style w:type="character" w:customStyle="1" w:styleId="CommentTextChar">
    <w:name w:val="Comment Text Char"/>
    <w:basedOn w:val="DefaultParagraphFont"/>
    <w:link w:val="CommentText"/>
    <w:rsid w:val="00A906BC"/>
  </w:style>
  <w:style w:type="paragraph" w:styleId="CommentSubject">
    <w:name w:val="annotation subject"/>
    <w:basedOn w:val="CommentText"/>
    <w:next w:val="CommentText"/>
    <w:link w:val="CommentSubjectChar"/>
    <w:rsid w:val="00A906BC"/>
    <w:rPr>
      <w:b/>
      <w:bCs/>
    </w:rPr>
  </w:style>
  <w:style w:type="character" w:customStyle="1" w:styleId="CommentSubjectChar">
    <w:name w:val="Comment Subject Char"/>
    <w:basedOn w:val="CommentTextChar"/>
    <w:link w:val="CommentSubject"/>
    <w:rsid w:val="00A90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906BC"/>
    <w:rPr>
      <w:sz w:val="16"/>
      <w:szCs w:val="16"/>
    </w:rPr>
  </w:style>
  <w:style w:type="paragraph" w:styleId="CommentText">
    <w:name w:val="annotation text"/>
    <w:basedOn w:val="Normal"/>
    <w:link w:val="CommentTextChar"/>
    <w:rsid w:val="00A906BC"/>
    <w:rPr>
      <w:sz w:val="20"/>
      <w:szCs w:val="20"/>
    </w:rPr>
  </w:style>
  <w:style w:type="character" w:customStyle="1" w:styleId="CommentTextChar">
    <w:name w:val="Comment Text Char"/>
    <w:basedOn w:val="DefaultParagraphFont"/>
    <w:link w:val="CommentText"/>
    <w:rsid w:val="00A906BC"/>
  </w:style>
  <w:style w:type="paragraph" w:styleId="CommentSubject">
    <w:name w:val="annotation subject"/>
    <w:basedOn w:val="CommentText"/>
    <w:next w:val="CommentText"/>
    <w:link w:val="CommentSubjectChar"/>
    <w:rsid w:val="00A906BC"/>
    <w:rPr>
      <w:b/>
      <w:bCs/>
    </w:rPr>
  </w:style>
  <w:style w:type="character" w:customStyle="1" w:styleId="CommentSubjectChar">
    <w:name w:val="Comment Subject Char"/>
    <w:basedOn w:val="CommentTextChar"/>
    <w:link w:val="CommentSubject"/>
    <w:rsid w:val="00A90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1506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HB01266 (Committee Report (Unamended))</vt:lpstr>
    </vt:vector>
  </TitlesOfParts>
  <Company>State of Texas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19022</dc:subject>
  <dc:creator>State of Texas</dc:creator>
  <dc:description>HB 1266 by Geren-(H)Criminal Jurisprudence</dc:description>
  <cp:lastModifiedBy>Brianna Weis</cp:lastModifiedBy>
  <cp:revision>2</cp:revision>
  <cp:lastPrinted>2017-01-31T18:52:00Z</cp:lastPrinted>
  <dcterms:created xsi:type="dcterms:W3CDTF">2017-04-12T22:31:00Z</dcterms:created>
  <dcterms:modified xsi:type="dcterms:W3CDTF">2017-04-12T22:31:00Z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17.82.171</vt:lpwstr>
  </property>
</Properties>
</file>