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E6F1F" w:rsidTr="00345119">
        <w:tc>
          <w:tcPr>
            <w:tcW w:w="9576" w:type="dxa"/>
            <w:noWrap/>
          </w:tcPr>
          <w:p w:rsidR="008423E4" w:rsidRPr="0022177D" w:rsidRDefault="008C1D0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C1D0C" w:rsidP="008423E4">
      <w:pPr>
        <w:jc w:val="center"/>
      </w:pPr>
    </w:p>
    <w:p w:rsidR="008423E4" w:rsidRPr="00B31F0E" w:rsidRDefault="008C1D0C" w:rsidP="008423E4"/>
    <w:p w:rsidR="008423E4" w:rsidRPr="00742794" w:rsidRDefault="008C1D0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6F1F" w:rsidTr="00345119">
        <w:tc>
          <w:tcPr>
            <w:tcW w:w="9576" w:type="dxa"/>
          </w:tcPr>
          <w:p w:rsidR="008423E4" w:rsidRPr="00861995" w:rsidRDefault="008C1D0C" w:rsidP="00345119">
            <w:pPr>
              <w:jc w:val="right"/>
            </w:pPr>
            <w:r>
              <w:t>H.B. 1290</w:t>
            </w:r>
          </w:p>
        </w:tc>
      </w:tr>
      <w:tr w:rsidR="004E6F1F" w:rsidTr="00345119">
        <w:tc>
          <w:tcPr>
            <w:tcW w:w="9576" w:type="dxa"/>
          </w:tcPr>
          <w:p w:rsidR="008423E4" w:rsidRPr="00861995" w:rsidRDefault="008C1D0C" w:rsidP="00C8031B">
            <w:pPr>
              <w:jc w:val="right"/>
            </w:pPr>
            <w:r>
              <w:t xml:space="preserve">By: </w:t>
            </w:r>
            <w:r>
              <w:t>Roberts</w:t>
            </w:r>
          </w:p>
        </w:tc>
      </w:tr>
      <w:tr w:rsidR="004E6F1F" w:rsidTr="00345119">
        <w:tc>
          <w:tcPr>
            <w:tcW w:w="9576" w:type="dxa"/>
          </w:tcPr>
          <w:p w:rsidR="008423E4" w:rsidRPr="00861995" w:rsidRDefault="008C1D0C" w:rsidP="00345119">
            <w:pPr>
              <w:jc w:val="right"/>
            </w:pPr>
            <w:r>
              <w:t>State Affairs</w:t>
            </w:r>
          </w:p>
        </w:tc>
      </w:tr>
      <w:tr w:rsidR="004E6F1F" w:rsidTr="00345119">
        <w:tc>
          <w:tcPr>
            <w:tcW w:w="9576" w:type="dxa"/>
          </w:tcPr>
          <w:p w:rsidR="008423E4" w:rsidRDefault="008C1D0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C1D0C" w:rsidP="008423E4">
      <w:pPr>
        <w:tabs>
          <w:tab w:val="right" w:pos="9360"/>
        </w:tabs>
      </w:pPr>
    </w:p>
    <w:p w:rsidR="008423E4" w:rsidRDefault="008C1D0C" w:rsidP="008423E4"/>
    <w:p w:rsidR="008423E4" w:rsidRDefault="008C1D0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E6F1F" w:rsidTr="00345119">
        <w:tc>
          <w:tcPr>
            <w:tcW w:w="9576" w:type="dxa"/>
          </w:tcPr>
          <w:p w:rsidR="008423E4" w:rsidRPr="00A8133F" w:rsidRDefault="008C1D0C" w:rsidP="00EA48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C1D0C" w:rsidP="00EA485A"/>
          <w:p w:rsidR="008423E4" w:rsidRDefault="008C1D0C" w:rsidP="00EA48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>about</w:t>
            </w:r>
            <w:r>
              <w:t xml:space="preserve"> the rate at which state agencies are </w:t>
            </w:r>
            <w:r>
              <w:t xml:space="preserve">proposing and </w:t>
            </w:r>
            <w:r>
              <w:t xml:space="preserve">adopting new </w:t>
            </w:r>
            <w:r>
              <w:t xml:space="preserve">rules and </w:t>
            </w:r>
            <w:r>
              <w:t xml:space="preserve">regulations.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>1290</w:t>
            </w:r>
            <w:r>
              <w:t xml:space="preserve"> </w:t>
            </w:r>
            <w:r>
              <w:t xml:space="preserve">seeks to </w:t>
            </w:r>
            <w:r>
              <w:t>address these concerns by</w:t>
            </w:r>
            <w:r>
              <w:t xml:space="preserve"> </w:t>
            </w:r>
            <w:r>
              <w:t>prohibit</w:t>
            </w:r>
            <w:r>
              <w:t>ing</w:t>
            </w:r>
            <w:r>
              <w:t xml:space="preserve"> a state agency from adopting a proposed rule unless the agency repeals at least one agency rule on or before the proposed rule's effective date</w:t>
            </w:r>
            <w:r>
              <w:t>, with certain exceptions</w:t>
            </w:r>
            <w:r>
              <w:t>.</w:t>
            </w:r>
          </w:p>
          <w:p w:rsidR="008423E4" w:rsidRPr="00E26B13" w:rsidRDefault="008C1D0C" w:rsidP="00EA485A">
            <w:pPr>
              <w:rPr>
                <w:b/>
              </w:rPr>
            </w:pPr>
          </w:p>
        </w:tc>
      </w:tr>
      <w:tr w:rsidR="004E6F1F" w:rsidTr="00345119">
        <w:tc>
          <w:tcPr>
            <w:tcW w:w="9576" w:type="dxa"/>
          </w:tcPr>
          <w:p w:rsidR="0017725B" w:rsidRDefault="008C1D0C" w:rsidP="00EA48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C1D0C" w:rsidP="00EA485A">
            <w:pPr>
              <w:rPr>
                <w:b/>
                <w:u w:val="single"/>
              </w:rPr>
            </w:pPr>
          </w:p>
          <w:p w:rsidR="00750AB3" w:rsidRPr="00750AB3" w:rsidRDefault="008C1D0C" w:rsidP="00EA485A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C1D0C" w:rsidP="00EA485A">
            <w:pPr>
              <w:rPr>
                <w:b/>
                <w:u w:val="single"/>
              </w:rPr>
            </w:pPr>
          </w:p>
        </w:tc>
      </w:tr>
      <w:tr w:rsidR="004E6F1F" w:rsidTr="00345119">
        <w:tc>
          <w:tcPr>
            <w:tcW w:w="9576" w:type="dxa"/>
          </w:tcPr>
          <w:p w:rsidR="008423E4" w:rsidRPr="00A8133F" w:rsidRDefault="008C1D0C" w:rsidP="00EA48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:rsidR="008423E4" w:rsidRDefault="008C1D0C" w:rsidP="00EA485A"/>
          <w:p w:rsidR="00750AB3" w:rsidRDefault="008C1D0C" w:rsidP="00EA48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C1D0C" w:rsidP="00EA485A">
            <w:pPr>
              <w:rPr>
                <w:b/>
              </w:rPr>
            </w:pPr>
          </w:p>
        </w:tc>
      </w:tr>
      <w:tr w:rsidR="004E6F1F" w:rsidTr="00345119">
        <w:tc>
          <w:tcPr>
            <w:tcW w:w="9576" w:type="dxa"/>
          </w:tcPr>
          <w:p w:rsidR="008423E4" w:rsidRPr="00A8133F" w:rsidRDefault="008C1D0C" w:rsidP="00EA48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C1D0C" w:rsidP="00EA485A"/>
          <w:p w:rsidR="00750AB3" w:rsidRDefault="008C1D0C" w:rsidP="00EA485A">
            <w:pPr>
              <w:pStyle w:val="Header"/>
              <w:jc w:val="both"/>
            </w:pPr>
            <w:r>
              <w:t xml:space="preserve">H.B. 1290 amends the Government Code to prohibit a state </w:t>
            </w:r>
            <w:r>
              <w:t>agency from adopting a proposed rule unless the state agency repeals at least one state agency rule</w:t>
            </w:r>
            <w:r>
              <w:t xml:space="preserve"> on or before the proposed rule's effective date</w:t>
            </w:r>
            <w:r>
              <w:t>. The bill</w:t>
            </w:r>
            <w:r>
              <w:t xml:space="preserve"> </w:t>
            </w:r>
            <w:r>
              <w:t>expressly do</w:t>
            </w:r>
            <w:r>
              <w:t>es</w:t>
            </w:r>
            <w:r>
              <w:t xml:space="preserve"> not apply to the adoption of a rule specifically required by the legislature or </w:t>
            </w:r>
            <w:r>
              <w:t>a r</w:t>
            </w:r>
            <w:r>
              <w:t xml:space="preserve">ule </w:t>
            </w:r>
            <w:r>
              <w:t>necessary to prote</w:t>
            </w:r>
            <w:r>
              <w:t xml:space="preserve">ct the health and safety of </w:t>
            </w:r>
            <w:r>
              <w:t>Texas residents as authorized under the Health and Safety Code.</w:t>
            </w:r>
            <w:r>
              <w:t xml:space="preserve"> The bill provides for the meaning of "state agency" by reference to its definition in the Administrative Procedure Act</w:t>
            </w:r>
            <w:r>
              <w:t>,</w:t>
            </w:r>
            <w:r>
              <w:t xml:space="preserve"> for purposes of action</w:t>
            </w:r>
            <w:r>
              <w:t>s preparatory to implementation of a statu</w:t>
            </w:r>
            <w:r>
              <w:t>t</w:t>
            </w:r>
            <w:r>
              <w:t>e or rule</w:t>
            </w:r>
            <w:r>
              <w:t>,</w:t>
            </w:r>
            <w:r>
              <w:t xml:space="preserve"> as</w:t>
            </w:r>
            <w:r w:rsidRPr="00AE1C71">
              <w:t xml:space="preserve"> a department, board, commission, committee, council, agency, office, or other entity in the executive, legislative, or judic</w:t>
            </w:r>
            <w:r>
              <w:t xml:space="preserve">ial branch of state government, including </w:t>
            </w:r>
            <w:r w:rsidRPr="00AE1C71">
              <w:t>a</w:t>
            </w:r>
            <w:r>
              <w:t xml:space="preserve"> public</w:t>
            </w:r>
            <w:r w:rsidRPr="00AE1C71">
              <w:t xml:space="preserve"> institution of higher ed</w:t>
            </w:r>
            <w:r w:rsidRPr="00AE1C71">
              <w:t>ucation</w:t>
            </w:r>
            <w:r>
              <w:t xml:space="preserve"> and including the entities that are excluded from the general definition of "state agency" under that act.</w:t>
            </w:r>
          </w:p>
          <w:p w:rsidR="008423E4" w:rsidRPr="00835628" w:rsidRDefault="008C1D0C" w:rsidP="00EA485A">
            <w:pPr>
              <w:rPr>
                <w:b/>
              </w:rPr>
            </w:pPr>
          </w:p>
        </w:tc>
      </w:tr>
      <w:tr w:rsidR="004E6F1F" w:rsidTr="00345119">
        <w:tc>
          <w:tcPr>
            <w:tcW w:w="9576" w:type="dxa"/>
          </w:tcPr>
          <w:p w:rsidR="008423E4" w:rsidRPr="00A8133F" w:rsidRDefault="008C1D0C" w:rsidP="00EA48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C1D0C" w:rsidP="00EA485A"/>
          <w:p w:rsidR="008423E4" w:rsidRPr="003624F2" w:rsidRDefault="008C1D0C" w:rsidP="00EA48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C1D0C" w:rsidP="00EA485A">
            <w:pPr>
              <w:rPr>
                <w:b/>
              </w:rPr>
            </w:pPr>
          </w:p>
        </w:tc>
      </w:tr>
    </w:tbl>
    <w:p w:rsidR="004108C3" w:rsidRPr="008423E4" w:rsidRDefault="008C1D0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1D0C">
      <w:r>
        <w:separator/>
      </w:r>
    </w:p>
  </w:endnote>
  <w:endnote w:type="continuationSeparator" w:id="0">
    <w:p w:rsidR="00000000" w:rsidRDefault="008C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6F1F" w:rsidTr="009C1E9A">
      <w:trPr>
        <w:cantSplit/>
      </w:trPr>
      <w:tc>
        <w:tcPr>
          <w:tcW w:w="0" w:type="pct"/>
        </w:tcPr>
        <w:p w:rsidR="00137D90" w:rsidRDefault="008C1D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C1D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C1D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C1D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C1D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6F1F" w:rsidTr="009C1E9A">
      <w:trPr>
        <w:cantSplit/>
      </w:trPr>
      <w:tc>
        <w:tcPr>
          <w:tcW w:w="0" w:type="pct"/>
        </w:tcPr>
        <w:p w:rsidR="00EC379B" w:rsidRDefault="008C1D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C1D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18428</w:t>
          </w:r>
        </w:p>
      </w:tc>
      <w:tc>
        <w:tcPr>
          <w:tcW w:w="2453" w:type="pct"/>
        </w:tcPr>
        <w:p w:rsidR="00EC379B" w:rsidRDefault="008C1D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17.77.66</w:t>
          </w:r>
          <w:r>
            <w:fldChar w:fldCharType="end"/>
          </w:r>
        </w:p>
      </w:tc>
    </w:tr>
    <w:tr w:rsidR="004E6F1F" w:rsidTr="009C1E9A">
      <w:trPr>
        <w:cantSplit/>
      </w:trPr>
      <w:tc>
        <w:tcPr>
          <w:tcW w:w="0" w:type="pct"/>
        </w:tcPr>
        <w:p w:rsidR="00EC379B" w:rsidRDefault="008C1D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C1D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C1D0C" w:rsidP="006D504F">
          <w:pPr>
            <w:pStyle w:val="Footer"/>
            <w:rPr>
              <w:rStyle w:val="PageNumber"/>
            </w:rPr>
          </w:pPr>
        </w:p>
        <w:p w:rsidR="00EC379B" w:rsidRDefault="008C1D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6F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C1D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C1D0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C1D0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1D0C">
      <w:r>
        <w:separator/>
      </w:r>
    </w:p>
  </w:footnote>
  <w:footnote w:type="continuationSeparator" w:id="0">
    <w:p w:rsidR="00000000" w:rsidRDefault="008C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1F"/>
    <w:rsid w:val="004E6F1F"/>
    <w:rsid w:val="008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50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AB3"/>
  </w:style>
  <w:style w:type="paragraph" w:styleId="CommentSubject">
    <w:name w:val="annotation subject"/>
    <w:basedOn w:val="CommentText"/>
    <w:next w:val="CommentText"/>
    <w:link w:val="CommentSubjectChar"/>
    <w:rsid w:val="00750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AB3"/>
    <w:rPr>
      <w:b/>
      <w:bCs/>
    </w:rPr>
  </w:style>
  <w:style w:type="character" w:styleId="Hyperlink">
    <w:name w:val="Hyperlink"/>
    <w:basedOn w:val="DefaultParagraphFont"/>
    <w:rsid w:val="001B69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692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10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50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AB3"/>
  </w:style>
  <w:style w:type="paragraph" w:styleId="CommentSubject">
    <w:name w:val="annotation subject"/>
    <w:basedOn w:val="CommentText"/>
    <w:next w:val="CommentText"/>
    <w:link w:val="CommentSubjectChar"/>
    <w:rsid w:val="00750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AB3"/>
    <w:rPr>
      <w:b/>
      <w:bCs/>
    </w:rPr>
  </w:style>
  <w:style w:type="character" w:styleId="Hyperlink">
    <w:name w:val="Hyperlink"/>
    <w:basedOn w:val="DefaultParagraphFont"/>
    <w:rsid w:val="001B69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692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10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1614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HB01290 (Committee Report (Unamended))</vt:lpstr>
    </vt:vector>
  </TitlesOfParts>
  <Company>State of Texas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18428</dc:subject>
  <dc:creator>State of Texas</dc:creator>
  <dc:description>HB 1290 by Roberts-(H)State Affairs</dc:description>
  <cp:lastModifiedBy>Molly Hoffman-Bricker</cp:lastModifiedBy>
  <cp:revision>2</cp:revision>
  <cp:lastPrinted>2017-03-19T14:54:00Z</cp:lastPrinted>
  <dcterms:created xsi:type="dcterms:W3CDTF">2017-04-24T21:26:00Z</dcterms:created>
  <dcterms:modified xsi:type="dcterms:W3CDTF">2017-04-24T21:26:00Z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17.77.66</vt:lpwstr>
  </property>
</Properties>
</file>