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3657A" w:rsidTr="005B2FB3">
        <w:tc>
          <w:tcPr>
            <w:tcW w:w="9576" w:type="dxa"/>
            <w:noWrap/>
          </w:tcPr>
          <w:p w:rsidR="008423E4" w:rsidRPr="0022177D" w:rsidRDefault="00F00303" w:rsidP="005B2FB3">
            <w:pPr>
              <w:pStyle w:val="Heading1"/>
            </w:pPr>
            <w:bookmarkStart w:id="0" w:name="_GoBack"/>
            <w:bookmarkEnd w:id="0"/>
            <w:r w:rsidRPr="00631897">
              <w:t>BILL ANALYSIS</w:t>
            </w:r>
          </w:p>
        </w:tc>
      </w:tr>
    </w:tbl>
    <w:p w:rsidR="008423E4" w:rsidRPr="0022177D" w:rsidRDefault="00F00303" w:rsidP="008423E4">
      <w:pPr>
        <w:jc w:val="center"/>
      </w:pPr>
    </w:p>
    <w:p w:rsidR="008423E4" w:rsidRPr="00B31F0E" w:rsidRDefault="00F00303" w:rsidP="008423E4"/>
    <w:p w:rsidR="008423E4" w:rsidRPr="00742794" w:rsidRDefault="00F00303" w:rsidP="008423E4">
      <w:pPr>
        <w:tabs>
          <w:tab w:val="right" w:pos="9360"/>
        </w:tabs>
      </w:pPr>
    </w:p>
    <w:tbl>
      <w:tblPr>
        <w:tblW w:w="0" w:type="auto"/>
        <w:tblLayout w:type="fixed"/>
        <w:tblLook w:val="01E0" w:firstRow="1" w:lastRow="1" w:firstColumn="1" w:lastColumn="1" w:noHBand="0" w:noVBand="0"/>
      </w:tblPr>
      <w:tblGrid>
        <w:gridCol w:w="9576"/>
      </w:tblGrid>
      <w:tr w:rsidR="0013657A" w:rsidTr="005B2FB3">
        <w:tc>
          <w:tcPr>
            <w:tcW w:w="9576" w:type="dxa"/>
          </w:tcPr>
          <w:p w:rsidR="008423E4" w:rsidRPr="00861995" w:rsidRDefault="00F00303" w:rsidP="005B2FB3">
            <w:pPr>
              <w:jc w:val="right"/>
            </w:pPr>
            <w:r>
              <w:t>H.B. 1292</w:t>
            </w:r>
          </w:p>
        </w:tc>
      </w:tr>
      <w:tr w:rsidR="0013657A" w:rsidTr="005B2FB3">
        <w:tc>
          <w:tcPr>
            <w:tcW w:w="9576" w:type="dxa"/>
          </w:tcPr>
          <w:p w:rsidR="008423E4" w:rsidRPr="00861995" w:rsidRDefault="00F00303" w:rsidP="008C2623">
            <w:pPr>
              <w:jc w:val="right"/>
            </w:pPr>
            <w:r>
              <w:t xml:space="preserve">By: </w:t>
            </w:r>
            <w:r>
              <w:t>Raymond</w:t>
            </w:r>
          </w:p>
        </w:tc>
      </w:tr>
      <w:tr w:rsidR="0013657A" w:rsidTr="005B2FB3">
        <w:tc>
          <w:tcPr>
            <w:tcW w:w="9576" w:type="dxa"/>
          </w:tcPr>
          <w:p w:rsidR="008423E4" w:rsidRPr="00861995" w:rsidRDefault="00F00303" w:rsidP="005B2FB3">
            <w:pPr>
              <w:jc w:val="right"/>
            </w:pPr>
            <w:r>
              <w:t>Public Health</w:t>
            </w:r>
          </w:p>
        </w:tc>
      </w:tr>
      <w:tr w:rsidR="0013657A" w:rsidTr="005B2FB3">
        <w:tc>
          <w:tcPr>
            <w:tcW w:w="9576" w:type="dxa"/>
          </w:tcPr>
          <w:p w:rsidR="008423E4" w:rsidRDefault="00F00303" w:rsidP="005B2FB3">
            <w:pPr>
              <w:jc w:val="right"/>
            </w:pPr>
            <w:r>
              <w:t>Committee Report (Unamended)</w:t>
            </w:r>
          </w:p>
        </w:tc>
      </w:tr>
    </w:tbl>
    <w:p w:rsidR="008423E4" w:rsidRDefault="00F00303" w:rsidP="008423E4">
      <w:pPr>
        <w:tabs>
          <w:tab w:val="right" w:pos="9360"/>
        </w:tabs>
      </w:pPr>
    </w:p>
    <w:p w:rsidR="008423E4" w:rsidRDefault="00F00303" w:rsidP="008423E4"/>
    <w:p w:rsidR="008423E4" w:rsidRDefault="00F00303" w:rsidP="008423E4"/>
    <w:tbl>
      <w:tblPr>
        <w:tblW w:w="0" w:type="auto"/>
        <w:tblCellMar>
          <w:left w:w="115" w:type="dxa"/>
          <w:right w:w="115" w:type="dxa"/>
        </w:tblCellMar>
        <w:tblLook w:val="01E0" w:firstRow="1" w:lastRow="1" w:firstColumn="1" w:lastColumn="1" w:noHBand="0" w:noVBand="0"/>
      </w:tblPr>
      <w:tblGrid>
        <w:gridCol w:w="9576"/>
      </w:tblGrid>
      <w:tr w:rsidR="0013657A" w:rsidTr="005B2FB3">
        <w:tc>
          <w:tcPr>
            <w:tcW w:w="9576" w:type="dxa"/>
          </w:tcPr>
          <w:p w:rsidR="008423E4" w:rsidRPr="00A8133F" w:rsidRDefault="00F00303" w:rsidP="00DE13DA">
            <w:pPr>
              <w:rPr>
                <w:b/>
              </w:rPr>
            </w:pPr>
            <w:r w:rsidRPr="009C1E9A">
              <w:rPr>
                <w:b/>
                <w:u w:val="single"/>
              </w:rPr>
              <w:t>BACKGROUND AND PURPOSE</w:t>
            </w:r>
            <w:r>
              <w:rPr>
                <w:b/>
              </w:rPr>
              <w:t xml:space="preserve"> </w:t>
            </w:r>
          </w:p>
          <w:p w:rsidR="008423E4" w:rsidRDefault="00F00303" w:rsidP="00DE13DA"/>
          <w:p w:rsidR="008423E4" w:rsidRDefault="00F00303" w:rsidP="00DE13DA">
            <w:pPr>
              <w:pStyle w:val="Header"/>
              <w:jc w:val="both"/>
            </w:pPr>
            <w:r>
              <w:t xml:space="preserve">Interested parties contend that the law governing the funeral industry needs to take into account the </w:t>
            </w:r>
            <w:r>
              <w:t>evolution</w:t>
            </w:r>
            <w:r>
              <w:t xml:space="preserve"> of the industry and more accurately reflect </w:t>
            </w:r>
            <w:r>
              <w:t>current practice</w:t>
            </w:r>
            <w:r>
              <w:t>s</w:t>
            </w:r>
            <w:r>
              <w:t xml:space="preserve">. </w:t>
            </w:r>
            <w:r>
              <w:t>H.B.</w:t>
            </w:r>
            <w:r>
              <w:t xml:space="preserve"> 1292 seeks to </w:t>
            </w:r>
            <w:r>
              <w:t>update the applicable law</w:t>
            </w:r>
            <w:r>
              <w:t xml:space="preserve"> so that it reflects the existing state of </w:t>
            </w:r>
            <w:r>
              <w:t xml:space="preserve">the </w:t>
            </w:r>
            <w:r w:rsidRPr="00D61995">
              <w:t xml:space="preserve">Texas Funeral Service Commission </w:t>
            </w:r>
            <w:r>
              <w:t xml:space="preserve">and the businesses the commission </w:t>
            </w:r>
            <w:r>
              <w:t>regulates.</w:t>
            </w:r>
          </w:p>
          <w:p w:rsidR="008423E4" w:rsidRPr="00E26B13" w:rsidRDefault="00F00303" w:rsidP="00DE13DA">
            <w:pPr>
              <w:rPr>
                <w:b/>
              </w:rPr>
            </w:pPr>
          </w:p>
        </w:tc>
      </w:tr>
      <w:tr w:rsidR="0013657A" w:rsidTr="005B2FB3">
        <w:tc>
          <w:tcPr>
            <w:tcW w:w="9576" w:type="dxa"/>
          </w:tcPr>
          <w:p w:rsidR="0017725B" w:rsidRDefault="00F00303" w:rsidP="00DE13DA">
            <w:pPr>
              <w:rPr>
                <w:b/>
                <w:u w:val="single"/>
              </w:rPr>
            </w:pPr>
            <w:r>
              <w:rPr>
                <w:b/>
                <w:u w:val="single"/>
              </w:rPr>
              <w:t>CRIMINAL JUSTICE IMPA</w:t>
            </w:r>
            <w:r>
              <w:rPr>
                <w:b/>
                <w:u w:val="single"/>
              </w:rPr>
              <w:t>CT</w:t>
            </w:r>
          </w:p>
          <w:p w:rsidR="0017725B" w:rsidRDefault="00F00303" w:rsidP="00DE13DA">
            <w:pPr>
              <w:rPr>
                <w:b/>
                <w:u w:val="single"/>
              </w:rPr>
            </w:pPr>
          </w:p>
          <w:p w:rsidR="00B656CD" w:rsidRPr="00B656CD" w:rsidRDefault="00F00303" w:rsidP="00DE13DA">
            <w:pPr>
              <w:jc w:val="both"/>
            </w:pPr>
            <w:r>
              <w:t>It is the committee's opinion that this bill does not expressly create a criminal offense, increase the punishment for an existing criminal offense or category of offenses, or change the eligibility of a person for community supervision, parole, or man</w:t>
            </w:r>
            <w:r>
              <w:t>datory supervision.</w:t>
            </w:r>
          </w:p>
          <w:p w:rsidR="0017725B" w:rsidRPr="0017725B" w:rsidRDefault="00F00303" w:rsidP="00DE13DA">
            <w:pPr>
              <w:rPr>
                <w:b/>
                <w:u w:val="single"/>
              </w:rPr>
            </w:pPr>
          </w:p>
        </w:tc>
      </w:tr>
      <w:tr w:rsidR="0013657A" w:rsidTr="005B2FB3">
        <w:tc>
          <w:tcPr>
            <w:tcW w:w="9576" w:type="dxa"/>
          </w:tcPr>
          <w:p w:rsidR="008423E4" w:rsidRPr="00A8133F" w:rsidRDefault="00F00303" w:rsidP="00DE13DA">
            <w:pPr>
              <w:rPr>
                <w:b/>
              </w:rPr>
            </w:pPr>
            <w:r w:rsidRPr="009C1E9A">
              <w:rPr>
                <w:b/>
                <w:u w:val="single"/>
              </w:rPr>
              <w:t>RULEMAKING AUTHORITY</w:t>
            </w:r>
            <w:r>
              <w:rPr>
                <w:b/>
              </w:rPr>
              <w:t xml:space="preserve"> </w:t>
            </w:r>
          </w:p>
          <w:p w:rsidR="008423E4" w:rsidRDefault="00F00303" w:rsidP="00DE13DA"/>
          <w:p w:rsidR="00B656CD" w:rsidRDefault="00F00303" w:rsidP="00DE13DA">
            <w:pPr>
              <w:pStyle w:val="Header"/>
              <w:tabs>
                <w:tab w:val="clear" w:pos="4320"/>
                <w:tab w:val="clear" w:pos="8640"/>
              </w:tabs>
              <w:jc w:val="both"/>
            </w:pPr>
            <w:r>
              <w:t xml:space="preserve">It is the committee's opinion that rulemaking authority is expressly granted to the </w:t>
            </w:r>
            <w:r>
              <w:t>Texas Funeral Service Commission</w:t>
            </w:r>
            <w:r>
              <w:t xml:space="preserve"> in </w:t>
            </w:r>
            <w:r>
              <w:t>SECTIONS 15 and 49</w:t>
            </w:r>
            <w:r>
              <w:t xml:space="preserve"> of this bill.</w:t>
            </w:r>
          </w:p>
          <w:p w:rsidR="008423E4" w:rsidRPr="00E21FDC" w:rsidRDefault="00F00303" w:rsidP="00DE13DA">
            <w:pPr>
              <w:rPr>
                <w:b/>
              </w:rPr>
            </w:pPr>
          </w:p>
        </w:tc>
      </w:tr>
      <w:tr w:rsidR="0013657A" w:rsidTr="005B2FB3">
        <w:tc>
          <w:tcPr>
            <w:tcW w:w="9576" w:type="dxa"/>
          </w:tcPr>
          <w:p w:rsidR="008423E4" w:rsidRPr="00A8133F" w:rsidRDefault="00F00303" w:rsidP="00DE13DA">
            <w:pPr>
              <w:rPr>
                <w:b/>
              </w:rPr>
            </w:pPr>
            <w:r w:rsidRPr="009C1E9A">
              <w:rPr>
                <w:b/>
                <w:u w:val="single"/>
              </w:rPr>
              <w:t>ANALYSIS</w:t>
            </w:r>
            <w:r>
              <w:rPr>
                <w:b/>
                <w:u w:val="single"/>
              </w:rPr>
              <w:t xml:space="preserve"> </w:t>
            </w:r>
            <w:r>
              <w:rPr>
                <w:b/>
              </w:rPr>
              <w:t xml:space="preserve"> </w:t>
            </w:r>
          </w:p>
          <w:p w:rsidR="008423E4" w:rsidRDefault="00F00303" w:rsidP="00DE13DA"/>
          <w:p w:rsidR="00994D8B" w:rsidRDefault="00F00303" w:rsidP="00DE13DA">
            <w:pPr>
              <w:pStyle w:val="Header"/>
              <w:jc w:val="both"/>
            </w:pPr>
            <w:r>
              <w:t>H.B. 1292</w:t>
            </w:r>
            <w:r>
              <w:t xml:space="preserve"> amends the Occupations Code to</w:t>
            </w:r>
            <w:r>
              <w:t xml:space="preserve"> </w:t>
            </w:r>
            <w:r>
              <w:t xml:space="preserve">specify that the </w:t>
            </w:r>
            <w:r>
              <w:t xml:space="preserve">member of the Texas Funeral Service Commission who is a </w:t>
            </w:r>
            <w:r>
              <w:t xml:space="preserve">registered cemetery owner or operator must </w:t>
            </w:r>
            <w:r>
              <w:t>be licensed as a funeral director.</w:t>
            </w:r>
            <w:r>
              <w:t xml:space="preserve"> The bill includes </w:t>
            </w:r>
            <w:r>
              <w:t xml:space="preserve">among the fees the commission is required to set </w:t>
            </w:r>
            <w:r>
              <w:t>a renewal fee, late renewal penalty, r</w:t>
            </w:r>
            <w:r>
              <w:t>eplacement license fee</w:t>
            </w:r>
            <w:r>
              <w:t xml:space="preserve">, </w:t>
            </w:r>
            <w:r>
              <w:t>continuing education provider fee</w:t>
            </w:r>
            <w:r>
              <w:t xml:space="preserve">, </w:t>
            </w:r>
            <w:r>
              <w:t>continuing education course fee</w:t>
            </w:r>
            <w:r>
              <w:t>,</w:t>
            </w:r>
            <w:r>
              <w:t xml:space="preserve"> and continuing education noncompliance fee</w:t>
            </w:r>
            <w:r>
              <w:t xml:space="preserve"> and removes the prohibition against the commission charging a fee to a perpetual care cemetery</w:t>
            </w:r>
            <w:r>
              <w:t>.</w:t>
            </w:r>
            <w:r>
              <w:t xml:space="preserve"> </w:t>
            </w:r>
            <w:r>
              <w:t>The bill requires the ins</w:t>
            </w:r>
            <w:r>
              <w:t xml:space="preserve">pection of a </w:t>
            </w:r>
            <w:r w:rsidRPr="002B5A6D">
              <w:t xml:space="preserve">crematory or funeral establishment before an initial license </w:t>
            </w:r>
            <w:r w:rsidRPr="003C0107">
              <w:t>may</w:t>
            </w:r>
            <w:r w:rsidRPr="002B5A6D">
              <w:t xml:space="preserve"> be issued to the crematory or funeral establishment</w:t>
            </w:r>
            <w:r>
              <w:t xml:space="preserve"> and removes</w:t>
            </w:r>
            <w:r>
              <w:t xml:space="preserve"> </w:t>
            </w:r>
            <w:r>
              <w:t xml:space="preserve">licensed </w:t>
            </w:r>
            <w:r>
              <w:t xml:space="preserve">cemeteries from the establishments subject to the inspection requirements for a </w:t>
            </w:r>
            <w:r>
              <w:t xml:space="preserve">licensed </w:t>
            </w:r>
            <w:r>
              <w:t>crematory or fun</w:t>
            </w:r>
            <w:r>
              <w:t>eral establishment</w:t>
            </w:r>
            <w:r w:rsidRPr="002B5A6D">
              <w:t>.</w:t>
            </w:r>
            <w:r>
              <w:t xml:space="preserve"> The bill </w:t>
            </w:r>
            <w:r>
              <w:t xml:space="preserve">clarifies that </w:t>
            </w:r>
            <w:r>
              <w:t>an inspection report is required to be retained</w:t>
            </w:r>
            <w:r>
              <w:t xml:space="preserve"> i</w:t>
            </w:r>
            <w:r>
              <w:t>n</w:t>
            </w:r>
            <w:r>
              <w:t xml:space="preserve"> the </w:t>
            </w:r>
            <w:r>
              <w:t>crematory's or funeral establishment's licensing file</w:t>
            </w:r>
            <w:r>
              <w:t>.</w:t>
            </w:r>
            <w:r>
              <w:t xml:space="preserve"> The bill removes the exemption </w:t>
            </w:r>
            <w:r>
              <w:t xml:space="preserve">for a perpetual care cemetery </w:t>
            </w:r>
            <w:r>
              <w:t>from inspection requirements</w:t>
            </w:r>
            <w:r>
              <w:t>, repeals the exemption for a perpetual care cemetery from cemetery or funeral establishment license requirements, and repeals provisions relating to the registration of perpetual care cemeteries</w:t>
            </w:r>
            <w:r>
              <w:t>.</w:t>
            </w:r>
            <w:r>
              <w:t xml:space="preserve"> </w:t>
            </w:r>
            <w:r>
              <w:t>The bill authorizes t</w:t>
            </w:r>
            <w:r w:rsidRPr="00B623D9">
              <w:t xml:space="preserve">he commission </w:t>
            </w:r>
            <w:r>
              <w:t>to</w:t>
            </w:r>
            <w:r w:rsidRPr="00B623D9">
              <w:t xml:space="preserve"> allow a funeral </w:t>
            </w:r>
            <w:r>
              <w:t>estab</w:t>
            </w:r>
            <w:r>
              <w:t>lishment that maintains a</w:t>
            </w:r>
            <w:r w:rsidRPr="00B623D9">
              <w:t xml:space="preserve"> website to link to the commission's website.</w:t>
            </w:r>
            <w:r>
              <w:t xml:space="preserve"> The bill clarifies </w:t>
            </w:r>
            <w:r>
              <w:t>statutory language relating to the commission's maintenance of a record of a complaint</w:t>
            </w:r>
            <w:r>
              <w:t>.</w:t>
            </w:r>
          </w:p>
          <w:p w:rsidR="003B749D" w:rsidRDefault="00F00303" w:rsidP="00DE13DA">
            <w:pPr>
              <w:pStyle w:val="Header"/>
              <w:jc w:val="both"/>
            </w:pPr>
          </w:p>
          <w:p w:rsidR="009F5A6D" w:rsidRDefault="00F00303" w:rsidP="00DE13DA">
            <w:pPr>
              <w:pStyle w:val="Header"/>
              <w:jc w:val="both"/>
            </w:pPr>
            <w:r>
              <w:t xml:space="preserve">H.B. 1292 </w:t>
            </w:r>
            <w:r>
              <w:t>removes statutory requirements relating to an application for a fun</w:t>
            </w:r>
            <w:r>
              <w:t xml:space="preserve">eral director's license or an embalmer's license and instead </w:t>
            </w:r>
            <w:r>
              <w:t xml:space="preserve">authorizes the commission to adopt license application requirements for </w:t>
            </w:r>
            <w:r>
              <w:t xml:space="preserve">such a </w:t>
            </w:r>
            <w:r>
              <w:t xml:space="preserve">license and to provide that a person applies for </w:t>
            </w:r>
            <w:r>
              <w:t>such a</w:t>
            </w:r>
            <w:r>
              <w:t xml:space="preserve"> license by completing a provisional license program. </w:t>
            </w:r>
            <w:r w:rsidRPr="00B730F1">
              <w:t>The bil</w:t>
            </w:r>
            <w:r w:rsidRPr="00B730F1">
              <w:t xml:space="preserve">l makes </w:t>
            </w:r>
            <w:r>
              <w:t>the</w:t>
            </w:r>
            <w:r w:rsidRPr="00B730F1">
              <w:t xml:space="preserve"> </w:t>
            </w:r>
            <w:r>
              <w:t>license valid for 24</w:t>
            </w:r>
            <w:r w:rsidRPr="00B730F1">
              <w:t xml:space="preserve"> months</w:t>
            </w:r>
            <w:r>
              <w:t xml:space="preserve">, replaces the </w:t>
            </w:r>
            <w:r>
              <w:t xml:space="preserve">authorization for the </w:t>
            </w:r>
            <w:r>
              <w:t>commission</w:t>
            </w:r>
            <w:r w:rsidRPr="00B730F1">
              <w:t xml:space="preserve"> to adopt a system under which licenses expire on various dates during the year</w:t>
            </w:r>
            <w:r>
              <w:t xml:space="preserve"> with a requirement that the commission adopt such a system, and clarifies </w:t>
            </w:r>
            <w:r>
              <w:t>the situation in</w:t>
            </w:r>
            <w:r>
              <w:t xml:space="preserve"> which</w:t>
            </w:r>
            <w:r>
              <w:t xml:space="preserve"> the </w:t>
            </w:r>
            <w:r w:rsidRPr="00B730F1">
              <w:t xml:space="preserve">commission </w:t>
            </w:r>
            <w:r>
              <w:t xml:space="preserve">is required </w:t>
            </w:r>
            <w:r w:rsidRPr="00B730F1">
              <w:t>to prorate license fees.</w:t>
            </w:r>
            <w:r>
              <w:t xml:space="preserve"> </w:t>
            </w:r>
            <w:r>
              <w:t>The bill revises the examinations that an applica</w:t>
            </w:r>
            <w:r>
              <w:t>nt</w:t>
            </w:r>
            <w:r>
              <w:t xml:space="preserve"> must complete to be eligible for a license,</w:t>
            </w:r>
            <w:r>
              <w:t xml:space="preserve"> </w:t>
            </w:r>
            <w:r>
              <w:t>removes from the</w:t>
            </w:r>
            <w:r>
              <w:t xml:space="preserve"> </w:t>
            </w:r>
            <w:r>
              <w:lastRenderedPageBreak/>
              <w:t>condition</w:t>
            </w:r>
            <w:r>
              <w:t>s</w:t>
            </w:r>
            <w:r>
              <w:t xml:space="preserve"> </w:t>
            </w:r>
            <w:r>
              <w:t xml:space="preserve">for eligibility </w:t>
            </w:r>
            <w:r>
              <w:t>that an applicant attain a specific score on an examinati</w:t>
            </w:r>
            <w:r>
              <w:t xml:space="preserve">on, and </w:t>
            </w:r>
            <w:r>
              <w:t>exempts an</w:t>
            </w:r>
            <w:r>
              <w:t xml:space="preserve"> applicant who is seeking a reciprocal license from</w:t>
            </w:r>
            <w:r w:rsidRPr="00B730F1">
              <w:t xml:space="preserve"> </w:t>
            </w:r>
            <w:r>
              <w:t>the condition that an applicant complete</w:t>
            </w:r>
            <w:r w:rsidRPr="00B730F1">
              <w:t xml:space="preserve"> all of the necessary</w:t>
            </w:r>
            <w:r>
              <w:t xml:space="preserve"> requirements </w:t>
            </w:r>
            <w:r>
              <w:t>of the provisional license program</w:t>
            </w:r>
            <w:r w:rsidRPr="00B730F1">
              <w:t>.</w:t>
            </w:r>
            <w:r>
              <w:t xml:space="preserve"> The bill authorizes the commission to adopt rules to allow an applicant who</w:t>
            </w:r>
            <w:r>
              <w:t xml:space="preserve"> graduated from a school or college of mortuary science that is no longer accredited to become licensed as a funeral director or embalmer.</w:t>
            </w:r>
            <w:r>
              <w:t xml:space="preserve"> </w:t>
            </w:r>
            <w:r>
              <w:t xml:space="preserve">The bill </w:t>
            </w:r>
            <w:r>
              <w:t>removes</w:t>
            </w:r>
            <w:r>
              <w:t xml:space="preserve"> statutory provisions specifying</w:t>
            </w:r>
            <w:r>
              <w:t xml:space="preserve"> the manner in which an examination for a funeral director's license </w:t>
            </w:r>
            <w:r>
              <w:t>or an embalmer's license must be conducted</w:t>
            </w:r>
            <w:r>
              <w:t xml:space="preserve"> </w:t>
            </w:r>
            <w:r>
              <w:t xml:space="preserve">and includes among the required components of the mortuary law examination administered by the commission local and state rules and laws relating to the preparation and transportation of dead human bodies. </w:t>
            </w:r>
            <w:r>
              <w:t>The bil</w:t>
            </w:r>
            <w:r>
              <w:t xml:space="preserve">l </w:t>
            </w:r>
            <w:r>
              <w:t>requires</w:t>
            </w:r>
            <w:r>
              <w:t xml:space="preserve"> an individual </w:t>
            </w:r>
            <w:r>
              <w:t xml:space="preserve">to </w:t>
            </w:r>
            <w:r>
              <w:t>receive a grade of at least 75 percent to pass the examination</w:t>
            </w:r>
            <w:r>
              <w:t>.</w:t>
            </w:r>
            <w:r>
              <w:t xml:space="preserve"> </w:t>
            </w:r>
            <w:r>
              <w:t xml:space="preserve">The bill </w:t>
            </w:r>
            <w:r>
              <w:t>revises application requirements for</w:t>
            </w:r>
            <w:r>
              <w:t xml:space="preserve"> an out-of-state license holder who applies for a funeral director's license or an embalmer's license</w:t>
            </w:r>
            <w:r>
              <w:t xml:space="preserve">. </w:t>
            </w:r>
            <w:r>
              <w:t xml:space="preserve"> </w:t>
            </w:r>
            <w:r>
              <w:t xml:space="preserve"> </w:t>
            </w:r>
          </w:p>
          <w:p w:rsidR="009F5A6D" w:rsidRDefault="00F00303" w:rsidP="00DE13DA">
            <w:pPr>
              <w:pStyle w:val="Header"/>
              <w:jc w:val="both"/>
            </w:pPr>
          </w:p>
          <w:p w:rsidR="00B730F1" w:rsidRDefault="00F00303" w:rsidP="00DE13DA">
            <w:pPr>
              <w:pStyle w:val="Header"/>
              <w:jc w:val="both"/>
            </w:pPr>
            <w:r>
              <w:t>H.B. 1292</w:t>
            </w:r>
            <w:r>
              <w:t xml:space="preserve"> </w:t>
            </w:r>
            <w:r w:rsidRPr="00762D32">
              <w:t xml:space="preserve">changes the name of </w:t>
            </w:r>
            <w:r>
              <w:t>the</w:t>
            </w:r>
            <w:r w:rsidRPr="00762D32">
              <w:t xml:space="preserve"> license </w:t>
            </w:r>
            <w:r>
              <w:t xml:space="preserve">issued by the commission following the loss or destruction of an original license </w:t>
            </w:r>
            <w:r w:rsidRPr="00762D32">
              <w:t>from a dup</w:t>
            </w:r>
            <w:r>
              <w:t>licate license to a replacement</w:t>
            </w:r>
            <w:r>
              <w:t xml:space="preserve"> license, </w:t>
            </w:r>
            <w:r w:rsidRPr="00762D32">
              <w:t>requires the commission to issue a duplicate original license on application and payment of</w:t>
            </w:r>
            <w:r w:rsidRPr="00762D32">
              <w:t xml:space="preserve"> a fee set by the commission for the license if the license holder needs a license to display in multiple locations</w:t>
            </w:r>
            <w:r>
              <w:t xml:space="preserve">, and </w:t>
            </w:r>
            <w:r w:rsidRPr="00762D32">
              <w:t xml:space="preserve">requires a license </w:t>
            </w:r>
            <w:r>
              <w:t>holder to conspicuously display</w:t>
            </w:r>
            <w:r w:rsidRPr="00762D32">
              <w:t xml:space="preserve"> the holder's </w:t>
            </w:r>
            <w:r>
              <w:t>duplicate original license</w:t>
            </w:r>
            <w:r w:rsidRPr="00762D32">
              <w:t xml:space="preserve"> or replacement license in each place of busi</w:t>
            </w:r>
            <w:r w:rsidRPr="00762D32">
              <w:t>ness at which the license holder practices</w:t>
            </w:r>
            <w:r>
              <w:t>.</w:t>
            </w:r>
            <w:r>
              <w:t xml:space="preserve"> The bill </w:t>
            </w:r>
            <w:r>
              <w:t xml:space="preserve">limits </w:t>
            </w:r>
            <w:r w:rsidRPr="00525440">
              <w:t xml:space="preserve">the exemption </w:t>
            </w:r>
            <w:r>
              <w:t>for</w:t>
            </w:r>
            <w:r w:rsidRPr="00525440">
              <w:t xml:space="preserve"> </w:t>
            </w:r>
            <w:r w:rsidRPr="00525440">
              <w:t xml:space="preserve">certain retired applicants </w:t>
            </w:r>
            <w:r>
              <w:t>from continuing education requirements</w:t>
            </w:r>
            <w:r w:rsidRPr="00525440">
              <w:t>.</w:t>
            </w:r>
            <w:r>
              <w:t xml:space="preserve"> </w:t>
            </w:r>
            <w:r>
              <w:t xml:space="preserve">The bill </w:t>
            </w:r>
            <w:r>
              <w:t>specifies that the examination a</w:t>
            </w:r>
            <w:r>
              <w:t xml:space="preserve"> person </w:t>
            </w:r>
            <w:r>
              <w:t xml:space="preserve">must retake and pass to reinstate a </w:t>
            </w:r>
            <w:r>
              <w:t xml:space="preserve">license </w:t>
            </w:r>
            <w:r>
              <w:t xml:space="preserve">that </w:t>
            </w:r>
            <w:r>
              <w:t>has been expi</w:t>
            </w:r>
            <w:r>
              <w:t xml:space="preserve">red for one year or more </w:t>
            </w:r>
            <w:r>
              <w:t>is</w:t>
            </w:r>
            <w:r>
              <w:t xml:space="preserve"> the mortuary law examination</w:t>
            </w:r>
            <w:r>
              <w:t xml:space="preserve"> and conditions the authoriza</w:t>
            </w:r>
            <w:r>
              <w:t>tion for an applicant who is licensed in Texas and in another state to obtain a new license on both of the licenses being in good standing</w:t>
            </w:r>
            <w:r>
              <w:t>.</w:t>
            </w:r>
            <w:r>
              <w:t xml:space="preserve"> The bill </w:t>
            </w:r>
            <w:r>
              <w:t>conditions the authori</w:t>
            </w:r>
            <w:r>
              <w:t xml:space="preserve">zation for </w:t>
            </w:r>
            <w:r>
              <w:t>a person whose license has been suspended to reinstate the license</w:t>
            </w:r>
            <w:r>
              <w:t xml:space="preserve"> on the reinstatement being authorized by the commission and </w:t>
            </w:r>
            <w:r>
              <w:t>that</w:t>
            </w:r>
            <w:r>
              <w:t xml:space="preserve"> the person complete</w:t>
            </w:r>
            <w:r>
              <w:t xml:space="preserve"> any </w:t>
            </w:r>
            <w:r>
              <w:t xml:space="preserve">required </w:t>
            </w:r>
            <w:r>
              <w:t>continuing education and pass</w:t>
            </w:r>
            <w:r>
              <w:t xml:space="preserve"> </w:t>
            </w:r>
            <w:r>
              <w:t>the mortuary law examination with a score of at le</w:t>
            </w:r>
            <w:r>
              <w:t>ast 75 percent.</w:t>
            </w:r>
            <w:r>
              <w:t xml:space="preserve"> The bill </w:t>
            </w:r>
            <w:r>
              <w:t xml:space="preserve">changes the person whom the commission may designate to hold </w:t>
            </w:r>
            <w:r>
              <w:t>a</w:t>
            </w:r>
            <w:r w:rsidRPr="005A4625">
              <w:t xml:space="preserve"> hearing to determine whether to reissue a license</w:t>
            </w:r>
            <w:r>
              <w:t xml:space="preserve"> that has been revoked from a hearings officer to an</w:t>
            </w:r>
            <w:r w:rsidRPr="005A4625">
              <w:t xml:space="preserve"> administrative law judge</w:t>
            </w:r>
            <w:r>
              <w:t xml:space="preserve">, specifies that the examination an </w:t>
            </w:r>
            <w:r>
              <w:t>applicant for a reissued license must retake and pass is the mortuary law examination, and adds as a condition for</w:t>
            </w:r>
            <w:r>
              <w:t xml:space="preserve"> the </w:t>
            </w:r>
            <w:r>
              <w:t xml:space="preserve">reissuance </w:t>
            </w:r>
            <w:r>
              <w:t>of a</w:t>
            </w:r>
            <w:r>
              <w:t xml:space="preserve"> revoked</w:t>
            </w:r>
            <w:r>
              <w:t xml:space="preserve"> license that the applicant </w:t>
            </w:r>
            <w:r>
              <w:t>pay any penalty assessed by the commission.</w:t>
            </w:r>
            <w:r>
              <w:t xml:space="preserve"> The bill repeals provisions relating to a </w:t>
            </w:r>
            <w:r>
              <w:t>fore</w:t>
            </w:r>
            <w:r>
              <w:t xml:space="preserve">ign student of mortuary science, a provisional license, and </w:t>
            </w:r>
            <w:r>
              <w:t xml:space="preserve">the renewal of an expired license by an out-of-state practitioner.  </w:t>
            </w:r>
          </w:p>
          <w:p w:rsidR="00B34030" w:rsidRDefault="00F00303" w:rsidP="00DE13DA">
            <w:pPr>
              <w:pStyle w:val="Header"/>
              <w:jc w:val="both"/>
            </w:pPr>
          </w:p>
          <w:p w:rsidR="006E5841" w:rsidRDefault="00F00303" w:rsidP="00DE13DA">
            <w:pPr>
              <w:pStyle w:val="Header"/>
              <w:jc w:val="both"/>
            </w:pPr>
            <w:r>
              <w:t>H</w:t>
            </w:r>
            <w:r>
              <w:t xml:space="preserve">.B. 1292 </w:t>
            </w:r>
            <w:r>
              <w:t xml:space="preserve">revises requirements relating to the merchandise </w:t>
            </w:r>
            <w:r>
              <w:t xml:space="preserve">a funeral establishment </w:t>
            </w:r>
            <w:r>
              <w:t xml:space="preserve">must </w:t>
            </w:r>
            <w:r w:rsidRPr="009642E3">
              <w:t>display</w:t>
            </w:r>
            <w:r>
              <w:t>,</w:t>
            </w:r>
            <w:r>
              <w:t xml:space="preserve"> </w:t>
            </w:r>
            <w:r>
              <w:t xml:space="preserve">requires </w:t>
            </w:r>
            <w:r>
              <w:t xml:space="preserve">a funeral </w:t>
            </w:r>
            <w:r>
              <w:t>establ</w:t>
            </w:r>
            <w:r>
              <w:t xml:space="preserve">ishment </w:t>
            </w:r>
            <w:r>
              <w:t xml:space="preserve">to </w:t>
            </w:r>
            <w:r>
              <w:t xml:space="preserve">conspicuously display </w:t>
            </w:r>
            <w:r>
              <w:t>the establishment's</w:t>
            </w:r>
            <w:r>
              <w:t xml:space="preserve"> </w:t>
            </w:r>
            <w:r>
              <w:t>license</w:t>
            </w:r>
            <w:r>
              <w:t>, and changes the circumstances that determine the duration of an exemption granted by the commission from requirements relating to a preparation room for embalming services</w:t>
            </w:r>
            <w:r>
              <w:t xml:space="preserve">. </w:t>
            </w:r>
            <w:r>
              <w:t>The bill removes from</w:t>
            </w:r>
            <w:r>
              <w:t xml:space="preserve"> the conditions an establishment must meet to be considered a commercial embalming establishment that the establishment meet the requirements for an embalmers license and revises the </w:t>
            </w:r>
            <w:r>
              <w:t>funeral establishment license requirements with which the establishment m</w:t>
            </w:r>
            <w:r>
              <w:t>ust comply. The bill removes the requirement for a funeral director or embalmer to direct and personally supervise the pickup of a dead human body on first call and for a funeral director to personally mak</w:t>
            </w:r>
            <w:r>
              <w:t>e</w:t>
            </w:r>
            <w:r>
              <w:t xml:space="preserve"> the transfer </w:t>
            </w:r>
            <w:r>
              <w:t xml:space="preserve">under certain circumstances. </w:t>
            </w:r>
            <w:r>
              <w:t>The bil</w:t>
            </w:r>
            <w:r>
              <w:t xml:space="preserve">l </w:t>
            </w:r>
            <w:r>
              <w:t xml:space="preserve">instead requires a funeral director to direct the pickup of a dead human body and </w:t>
            </w:r>
            <w:r>
              <w:t>authorizes the transfer of a dead human body without a funeral director directing the transfer at the direction of a justice of the peace or other law enforcement official.</w:t>
            </w:r>
            <w:r>
              <w:t xml:space="preserve"> The bill authorizes a</w:t>
            </w:r>
            <w:r w:rsidRPr="00504D5C">
              <w:t xml:space="preserve"> funeral director </w:t>
            </w:r>
            <w:r>
              <w:t>to</w:t>
            </w:r>
            <w:r w:rsidRPr="00504D5C">
              <w:t xml:space="preserve"> direct an unlicensed person, a provisional license holder, or an embalmer in the</w:t>
            </w:r>
            <w:r>
              <w:t xml:space="preserve"> removal of a dead human body. The bill makes a</w:t>
            </w:r>
            <w:r w:rsidRPr="00504D5C">
              <w:t xml:space="preserve"> funeral director who directs the removal of a dead human</w:t>
            </w:r>
            <w:r>
              <w:t xml:space="preserve"> body by an unlicensed person</w:t>
            </w:r>
            <w:r w:rsidRPr="00504D5C">
              <w:t xml:space="preserve"> strictly acco</w:t>
            </w:r>
            <w:r>
              <w:t xml:space="preserve">untable for compliance with applicable requirements. </w:t>
            </w:r>
            <w:r>
              <w:t>The bill extends the duties of an unlicensed person who inadvertently encounters a family member o</w:t>
            </w:r>
            <w:r>
              <w:t>r</w:t>
            </w:r>
            <w:r>
              <w:t xml:space="preserve"> other person with whom funeral arrangements are normally made to a provisional license ho</w:t>
            </w:r>
            <w:r>
              <w:t>lder or an embalmer and removes from those duties arranging an appointment with the unlicensed person's employer for a family member or other person who indicates a desire to make funeral arrangement</w:t>
            </w:r>
            <w:r>
              <w:t>s</w:t>
            </w:r>
            <w:r>
              <w:t xml:space="preserve"> for the deceased. The bill requires a commercial embalm</w:t>
            </w:r>
            <w:r>
              <w:t>ing establishment to designate to the commission an embalmer in charge and promptly notify the commission of any change in that designation. The bill makes the embalmer in charge directly responsible for the embalming business of the commercial embalming e</w:t>
            </w:r>
            <w:r>
              <w:t xml:space="preserve">stablishment and ultimately responsible for compliance with mortuary laws. The bill establishes that the embalmer in charge </w:t>
            </w:r>
            <w:r w:rsidRPr="003C0107">
              <w:t>may</w:t>
            </w:r>
            <w:r>
              <w:t xml:space="preserve"> be charged with a violation of provisions relating to cemetery and crematory services, funeral directing, and embalming if a vio</w:t>
            </w:r>
            <w:r>
              <w:t xml:space="preserve">lation occurs in the commercial embalming establishment. </w:t>
            </w:r>
          </w:p>
          <w:p w:rsidR="006E5841" w:rsidRDefault="00F00303" w:rsidP="00DE13DA">
            <w:pPr>
              <w:pStyle w:val="Header"/>
              <w:jc w:val="both"/>
            </w:pPr>
          </w:p>
          <w:p w:rsidR="006E5841" w:rsidRDefault="00F00303" w:rsidP="00DE13DA">
            <w:pPr>
              <w:pStyle w:val="Header"/>
              <w:jc w:val="both"/>
            </w:pPr>
            <w:r>
              <w:t xml:space="preserve">H.B. 1292 </w:t>
            </w:r>
            <w:r>
              <w:t>specifies the manner in which a</w:t>
            </w:r>
            <w:r>
              <w:t xml:space="preserve"> funeral establishment</w:t>
            </w:r>
            <w:r>
              <w:t xml:space="preserve"> that releases a body to </w:t>
            </w:r>
            <w:r>
              <w:t xml:space="preserve">a school of mortuary science </w:t>
            </w:r>
            <w:r>
              <w:t xml:space="preserve">is required </w:t>
            </w:r>
            <w:r>
              <w:t xml:space="preserve">to make the records of the funeral establishment reasonably </w:t>
            </w:r>
            <w:r>
              <w:t>available for inspection by the person who provided the consent</w:t>
            </w:r>
            <w:r>
              <w:t xml:space="preserve"> and removes the next of kin of the deceased person as a person to whom the establishment must make the records available for inspection</w:t>
            </w:r>
            <w:r>
              <w:t>. The bill</w:t>
            </w:r>
            <w:r>
              <w:t xml:space="preserve"> clarifies the circumstances under which a pers</w:t>
            </w:r>
            <w:r>
              <w:t>on commits unethical conduct regarding embalming,</w:t>
            </w:r>
            <w:r>
              <w:t xml:space="preserve"> </w:t>
            </w:r>
            <w:r>
              <w:t>a funeral establishment</w:t>
            </w:r>
            <w:r>
              <w:t xml:space="preserve">, or </w:t>
            </w:r>
            <w:r>
              <w:t xml:space="preserve">funeral services and specifies that in order for a license holder to qualify for a defense to a violation regarding funeral arrangements the requisite statement made by a person </w:t>
            </w:r>
            <w:r>
              <w:t>who directs the license holder must be in writing.</w:t>
            </w:r>
            <w:r>
              <w:t xml:space="preserve">  </w:t>
            </w:r>
          </w:p>
          <w:p w:rsidR="006E5841" w:rsidRDefault="00F00303" w:rsidP="00DE13DA">
            <w:pPr>
              <w:pStyle w:val="Header"/>
              <w:jc w:val="both"/>
            </w:pPr>
          </w:p>
          <w:p w:rsidR="006E5841" w:rsidRDefault="00F00303" w:rsidP="00DE13DA">
            <w:pPr>
              <w:pStyle w:val="Header"/>
              <w:jc w:val="both"/>
            </w:pPr>
            <w:r>
              <w:t xml:space="preserve">H.B. 1292 </w:t>
            </w:r>
            <w:r>
              <w:t xml:space="preserve">removes the </w:t>
            </w:r>
            <w:r>
              <w:t>requirement</w:t>
            </w:r>
            <w:r>
              <w:t xml:space="preserve"> that a hearing be held before </w:t>
            </w:r>
            <w:r>
              <w:t xml:space="preserve">the commission </w:t>
            </w:r>
            <w:r>
              <w:t xml:space="preserve">may take certain disciplinary action </w:t>
            </w:r>
            <w:r>
              <w:t xml:space="preserve">against a person and instead authorizes the commission to </w:t>
            </w:r>
            <w:r>
              <w:t>issue a letter of warni</w:t>
            </w:r>
            <w:r>
              <w:t>ng, a</w:t>
            </w:r>
            <w:r>
              <w:t>sses</w:t>
            </w:r>
            <w:r>
              <w:t>s</w:t>
            </w:r>
            <w:r>
              <w:t xml:space="preserve"> an administrative penal</w:t>
            </w:r>
            <w:r>
              <w:t>ty, revoke or suspend a license, place a license holder on probation, or impose any combination of those penalties if the commissi</w:t>
            </w:r>
            <w:r>
              <w:t xml:space="preserve">on determines that a person regulated under provisions </w:t>
            </w:r>
            <w:r>
              <w:t>relating to cemetery and crematory service</w:t>
            </w:r>
            <w:r>
              <w:t xml:space="preserve">s, funeral directing, and embalming </w:t>
            </w:r>
            <w:r>
              <w:t>has violated those provisions or rules adopted under those provisions.</w:t>
            </w:r>
            <w:r>
              <w:t xml:space="preserve"> The bill repeals a provision relating to the commission's issuance of a reprimand.</w:t>
            </w:r>
            <w:r>
              <w:t xml:space="preserve"> The bill </w:t>
            </w:r>
            <w:r>
              <w:t>removes the authorization for the commission to refuse to</w:t>
            </w:r>
            <w:r>
              <w:t xml:space="preserve"> issue a license or provision</w:t>
            </w:r>
            <w:r>
              <w:t>al</w:t>
            </w:r>
            <w:r>
              <w:t xml:space="preserve"> license for certain violations before a hearing or a waiver of a right to a hearing and instead </w:t>
            </w:r>
            <w:r>
              <w:t xml:space="preserve">adds as a condition on </w:t>
            </w:r>
            <w:r>
              <w:t>the commission</w:t>
            </w:r>
            <w:r>
              <w:t>'s authority to refuse t</w:t>
            </w:r>
            <w:r>
              <w:t xml:space="preserve">o issue a license under those circumstances that the commission do </w:t>
            </w:r>
            <w:r>
              <w:t xml:space="preserve">so only </w:t>
            </w:r>
            <w:r>
              <w:t>after a hearing before the commission</w:t>
            </w:r>
            <w:r>
              <w:t>. The bill e</w:t>
            </w:r>
            <w:r>
              <w:t>xpand</w:t>
            </w:r>
            <w:r>
              <w:t>s this authority to</w:t>
            </w:r>
            <w:r>
              <w:t xml:space="preserve"> include </w:t>
            </w:r>
            <w:r>
              <w:t>refusing</w:t>
            </w:r>
            <w:r>
              <w:t xml:space="preserve"> to renew a license or provisional license</w:t>
            </w:r>
            <w:r>
              <w:t xml:space="preserve"> under those circumstances, includes among those persons to whom the commission may refuse to issue or renew a licen</w:t>
            </w:r>
            <w:r>
              <w:t xml:space="preserve">se </w:t>
            </w:r>
            <w:r>
              <w:t>a person who has a criminal</w:t>
            </w:r>
            <w:r>
              <w:t xml:space="preserve"> conviction</w:t>
            </w:r>
            <w:r>
              <w:t>,</w:t>
            </w:r>
            <w:r>
              <w:t xml:space="preserve"> and</w:t>
            </w:r>
            <w:r>
              <w:t xml:space="preserve"> </w:t>
            </w:r>
            <w:r>
              <w:t>clarifies that the commission is authorized</w:t>
            </w:r>
            <w:r w:rsidRPr="00EF4E4B">
              <w:t xml:space="preserve"> </w:t>
            </w:r>
            <w:r>
              <w:t xml:space="preserve">to </w:t>
            </w:r>
            <w:r w:rsidRPr="00EF4E4B">
              <w:t>order</w:t>
            </w:r>
            <w:r>
              <w:t>, after such a hearing is held,</w:t>
            </w:r>
            <w:r w:rsidRPr="00EF4E4B">
              <w:t xml:space="preserve"> that a license be issued or renewed on a probationary basis through execution of an agreed order.</w:t>
            </w:r>
            <w:r>
              <w:t xml:space="preserve"> </w:t>
            </w:r>
            <w:r>
              <w:t>The bill repeals a provisio</w:t>
            </w:r>
            <w:r>
              <w:t xml:space="preserve">n relating to the right of a person applying for a funeral director's or embalmer's license who has a criminal conviction to request a hearing and repeals provisions relating to </w:t>
            </w:r>
            <w:r>
              <w:t>the required appointment of a disciplinary panel to</w:t>
            </w:r>
            <w:r w:rsidRPr="007C73AA">
              <w:t xml:space="preserve"> determine whether a funera</w:t>
            </w:r>
            <w:r w:rsidRPr="007C73AA">
              <w:t>l director's or embalmer's license should be temporarily suspended or restricted</w:t>
            </w:r>
            <w:r>
              <w:t xml:space="preserve">. </w:t>
            </w:r>
          </w:p>
          <w:p w:rsidR="006E5841" w:rsidRDefault="00F00303" w:rsidP="00DE13DA">
            <w:pPr>
              <w:pStyle w:val="Header"/>
              <w:jc w:val="both"/>
            </w:pPr>
          </w:p>
          <w:p w:rsidR="009E0382" w:rsidRDefault="00F00303" w:rsidP="00DE13DA">
            <w:pPr>
              <w:pStyle w:val="Header"/>
              <w:jc w:val="both"/>
            </w:pPr>
            <w:r>
              <w:t xml:space="preserve">H.B. 1292 </w:t>
            </w:r>
            <w:r>
              <w:t>requires the commission, if the commission determines that a violation has occurred after examining a possible violation and the facts relating to that violation,</w:t>
            </w:r>
            <w:r>
              <w:t xml:space="preserve"> to issue a preliminary report stating the facts on which the determination is based, that a sanction </w:t>
            </w:r>
            <w:r w:rsidRPr="003C0107">
              <w:t>may</w:t>
            </w:r>
            <w:r>
              <w:t xml:space="preserve"> be imposed, and the types of sanctions </w:t>
            </w:r>
            <w:r w:rsidRPr="003C0107">
              <w:t>that may</w:t>
            </w:r>
            <w:r>
              <w:t xml:space="preserve"> be imposed for the violation. The bill requires the commission, not later than the 10th day after the date the report is issued, to send </w:t>
            </w:r>
            <w:r>
              <w:t xml:space="preserve">a copy of the report and certain statements </w:t>
            </w:r>
            <w:r>
              <w:t>to the person charged with the violation. The bill establishes that</w:t>
            </w:r>
            <w:r>
              <w:t>,</w:t>
            </w:r>
            <w:r>
              <w:t xml:space="preserve"> until</w:t>
            </w:r>
            <w:r>
              <w:t xml:space="preserve"> a hearing has been held on the possible violation</w:t>
            </w:r>
            <w:r>
              <w:t>,</w:t>
            </w:r>
            <w:r>
              <w:t xml:space="preserve"> the</w:t>
            </w:r>
            <w:r>
              <w:t xml:space="preserve"> possible violation and the sanctions </w:t>
            </w:r>
            <w:r w:rsidRPr="003C0107">
              <w:t>that may</w:t>
            </w:r>
            <w:r>
              <w:t xml:space="preserve"> be </w:t>
            </w:r>
            <w:r w:rsidRPr="003C0107">
              <w:t>imposed may</w:t>
            </w:r>
            <w:r>
              <w:t xml:space="preserve"> be disclosed only to the person charged with the violation, unless that person has waived the right to a hearing or paid the amount to the </w:t>
            </w:r>
            <w:r>
              <w:t>commission.</w:t>
            </w:r>
            <w:r>
              <w:t xml:space="preserve"> </w:t>
            </w:r>
            <w:r>
              <w:t>The bill authorizes the commission to</w:t>
            </w:r>
            <w:r w:rsidRPr="000B3FF6">
              <w:t xml:space="preserve"> suspend or revoke the license of a license holder </w:t>
            </w:r>
            <w:r>
              <w:t xml:space="preserve">who is placed on probation </w:t>
            </w:r>
            <w:r w:rsidRPr="000B3FF6">
              <w:t>without a hearing if the commission determines the license holder violated the terms of probation</w:t>
            </w:r>
            <w:r>
              <w:t xml:space="preserve"> and</w:t>
            </w:r>
            <w:r>
              <w:t xml:space="preserve"> authorizes the</w:t>
            </w:r>
            <w:r w:rsidRPr="000B3FF6">
              <w:t xml:space="preserve"> license hold</w:t>
            </w:r>
            <w:r w:rsidRPr="000B3FF6">
              <w:t xml:space="preserve">er </w:t>
            </w:r>
            <w:r>
              <w:t>to</w:t>
            </w:r>
            <w:r w:rsidRPr="000B3FF6">
              <w:t xml:space="preserve"> appeal the decision</w:t>
            </w:r>
            <w:r>
              <w:t xml:space="preserve"> in the specified manner</w:t>
            </w:r>
            <w:r>
              <w:t>.</w:t>
            </w:r>
            <w:r>
              <w:t xml:space="preserve"> The bill repeals provisions relating to the right to obtain a tape or transcript of a disciplinary proceeding, to communication with </w:t>
            </w:r>
            <w:r>
              <w:t xml:space="preserve">a </w:t>
            </w:r>
            <w:r>
              <w:t xml:space="preserve">party to the proceeding, and to a waiver of a hearing by a funeral or </w:t>
            </w:r>
            <w:r>
              <w:t xml:space="preserve">crematory establishment. </w:t>
            </w:r>
            <w:r>
              <w:t>The bill requires the commission by rule to adopt procedures governing informal disposition of a contested case and an informal proceeding held in compliance with Government Code provisions relating to license holders. The bill req</w:t>
            </w:r>
            <w:r>
              <w:t xml:space="preserve">uires </w:t>
            </w:r>
            <w:r>
              <w:t>those</w:t>
            </w:r>
            <w:r>
              <w:t xml:space="preserve"> </w:t>
            </w:r>
            <w:r>
              <w:t>rules to provide the complainant and the license holder an opportunity to be heard and require the presence of a representative of the commission's legal staff or of the attorney general to advise the commission or the commission's employees.</w:t>
            </w:r>
            <w:r>
              <w:t xml:space="preserve"> T</w:t>
            </w:r>
            <w:r>
              <w:t xml:space="preserve">he bill </w:t>
            </w:r>
            <w:r>
              <w:t>changes the</w:t>
            </w:r>
            <w:r>
              <w:t xml:space="preserve"> type of</w:t>
            </w:r>
            <w:r>
              <w:t xml:space="preserve"> publicly posted information regarding violations that the commission is required to adopt from penalty guidelines to a sanction schedule</w:t>
            </w:r>
            <w:r>
              <w:t xml:space="preserve">. </w:t>
            </w:r>
          </w:p>
          <w:p w:rsidR="00EA17E7" w:rsidRDefault="00F00303" w:rsidP="00DE13DA">
            <w:pPr>
              <w:pStyle w:val="Header"/>
              <w:jc w:val="both"/>
            </w:pPr>
            <w:r>
              <w:t xml:space="preserve"> </w:t>
            </w:r>
          </w:p>
          <w:p w:rsidR="00EA17E7" w:rsidRDefault="00F00303" w:rsidP="00DE13DA">
            <w:pPr>
              <w:pStyle w:val="Header"/>
              <w:jc w:val="both"/>
            </w:pPr>
            <w:r>
              <w:t>H.B. 1292 repeals the following provisions of the Occupations Code:</w:t>
            </w:r>
          </w:p>
          <w:p w:rsidR="00EA17E7" w:rsidRDefault="00F00303" w:rsidP="00DE13DA">
            <w:pPr>
              <w:pStyle w:val="Header"/>
              <w:numPr>
                <w:ilvl w:val="0"/>
                <w:numId w:val="1"/>
              </w:numPr>
              <w:spacing w:before="120" w:after="120"/>
              <w:jc w:val="both"/>
            </w:pPr>
            <w:r>
              <w:t>Section 651.257</w:t>
            </w:r>
          </w:p>
          <w:p w:rsidR="00EA17E7" w:rsidRDefault="00F00303" w:rsidP="00DE13DA">
            <w:pPr>
              <w:pStyle w:val="Header"/>
              <w:numPr>
                <w:ilvl w:val="0"/>
                <w:numId w:val="1"/>
              </w:numPr>
              <w:spacing w:before="120" w:after="120"/>
              <w:jc w:val="both"/>
            </w:pPr>
            <w:r>
              <w:t>Section 651.2595</w:t>
            </w:r>
          </w:p>
          <w:p w:rsidR="00EA17E7" w:rsidRDefault="00F00303" w:rsidP="00DE13DA">
            <w:pPr>
              <w:pStyle w:val="Header"/>
              <w:numPr>
                <w:ilvl w:val="0"/>
                <w:numId w:val="1"/>
              </w:numPr>
              <w:spacing w:before="120" w:after="120"/>
              <w:jc w:val="both"/>
            </w:pPr>
            <w:r>
              <w:t>Section 651.264</w:t>
            </w:r>
          </w:p>
          <w:p w:rsidR="00EA17E7" w:rsidRDefault="00F00303" w:rsidP="00DE13DA">
            <w:pPr>
              <w:pStyle w:val="Header"/>
              <w:numPr>
                <w:ilvl w:val="0"/>
                <w:numId w:val="1"/>
              </w:numPr>
              <w:spacing w:before="120" w:after="120"/>
              <w:jc w:val="both"/>
            </w:pPr>
            <w:r>
              <w:t>Section 651.354(d)</w:t>
            </w:r>
          </w:p>
          <w:p w:rsidR="00EA17E7" w:rsidRDefault="00F00303" w:rsidP="00DE13DA">
            <w:pPr>
              <w:pStyle w:val="Header"/>
              <w:numPr>
                <w:ilvl w:val="0"/>
                <w:numId w:val="1"/>
              </w:numPr>
              <w:spacing w:before="120" w:after="120"/>
              <w:jc w:val="both"/>
            </w:pPr>
            <w:r>
              <w:t>Section 651.355</w:t>
            </w:r>
          </w:p>
          <w:p w:rsidR="00EA17E7" w:rsidRDefault="00F00303" w:rsidP="00DE13DA">
            <w:pPr>
              <w:pStyle w:val="Header"/>
              <w:numPr>
                <w:ilvl w:val="0"/>
                <w:numId w:val="1"/>
              </w:numPr>
              <w:spacing w:before="120" w:after="120"/>
              <w:jc w:val="both"/>
            </w:pPr>
            <w:r>
              <w:t>Sections 651.502(c) and (d)</w:t>
            </w:r>
          </w:p>
          <w:p w:rsidR="00EA17E7" w:rsidRDefault="00F00303" w:rsidP="00DE13DA">
            <w:pPr>
              <w:pStyle w:val="Header"/>
              <w:numPr>
                <w:ilvl w:val="0"/>
                <w:numId w:val="1"/>
              </w:numPr>
              <w:spacing w:before="120" w:after="120"/>
              <w:jc w:val="both"/>
            </w:pPr>
            <w:r>
              <w:t>Section 651.5026</w:t>
            </w:r>
          </w:p>
          <w:p w:rsidR="00EA17E7" w:rsidRDefault="00F00303" w:rsidP="00DE13DA">
            <w:pPr>
              <w:pStyle w:val="Header"/>
              <w:numPr>
                <w:ilvl w:val="0"/>
                <w:numId w:val="1"/>
              </w:numPr>
              <w:spacing w:before="120" w:after="120"/>
              <w:jc w:val="both"/>
            </w:pPr>
            <w:r>
              <w:t>Section 651.504</w:t>
            </w:r>
          </w:p>
          <w:p w:rsidR="00EA17E7" w:rsidRDefault="00F00303" w:rsidP="00DE13DA">
            <w:pPr>
              <w:pStyle w:val="Header"/>
              <w:numPr>
                <w:ilvl w:val="0"/>
                <w:numId w:val="1"/>
              </w:numPr>
              <w:spacing w:before="120" w:after="120"/>
              <w:jc w:val="both"/>
            </w:pPr>
            <w:r>
              <w:t>Sections 651.506(g) and (h)</w:t>
            </w:r>
          </w:p>
          <w:p w:rsidR="00EA17E7" w:rsidRDefault="00F00303" w:rsidP="00DE13DA">
            <w:pPr>
              <w:pStyle w:val="Header"/>
              <w:numPr>
                <w:ilvl w:val="0"/>
                <w:numId w:val="1"/>
              </w:numPr>
              <w:spacing w:before="120" w:after="120"/>
              <w:jc w:val="both"/>
            </w:pPr>
            <w:r>
              <w:t>Section 651.5061</w:t>
            </w:r>
          </w:p>
          <w:p w:rsidR="00EA17E7" w:rsidRDefault="00F00303" w:rsidP="00DE13DA">
            <w:pPr>
              <w:pStyle w:val="Header"/>
              <w:numPr>
                <w:ilvl w:val="0"/>
                <w:numId w:val="1"/>
              </w:numPr>
              <w:spacing w:before="120" w:after="120"/>
              <w:jc w:val="both"/>
            </w:pPr>
            <w:r>
              <w:t xml:space="preserve">Section 651.559 </w:t>
            </w:r>
          </w:p>
          <w:p w:rsidR="008423E4" w:rsidRPr="00835628" w:rsidRDefault="00F00303" w:rsidP="00DE13DA">
            <w:pPr>
              <w:rPr>
                <w:b/>
              </w:rPr>
            </w:pPr>
            <w:r>
              <w:rPr>
                <w:b/>
              </w:rPr>
              <w:t xml:space="preserve"> </w:t>
            </w:r>
          </w:p>
        </w:tc>
      </w:tr>
      <w:tr w:rsidR="0013657A" w:rsidTr="005B2FB3">
        <w:tc>
          <w:tcPr>
            <w:tcW w:w="9576" w:type="dxa"/>
          </w:tcPr>
          <w:p w:rsidR="008423E4" w:rsidRPr="00A8133F" w:rsidRDefault="00F00303" w:rsidP="00DE13DA">
            <w:pPr>
              <w:rPr>
                <w:b/>
              </w:rPr>
            </w:pPr>
            <w:r w:rsidRPr="009C1E9A">
              <w:rPr>
                <w:b/>
                <w:u w:val="single"/>
              </w:rPr>
              <w:lastRenderedPageBreak/>
              <w:t>EFFECTIVE DATE</w:t>
            </w:r>
            <w:r>
              <w:rPr>
                <w:b/>
              </w:rPr>
              <w:t xml:space="preserve"> </w:t>
            </w:r>
          </w:p>
          <w:p w:rsidR="008423E4" w:rsidRDefault="00F00303" w:rsidP="00DE13DA"/>
          <w:p w:rsidR="008423E4" w:rsidRPr="003624F2" w:rsidRDefault="00F00303" w:rsidP="00DE13DA">
            <w:pPr>
              <w:pStyle w:val="Header"/>
              <w:tabs>
                <w:tab w:val="clear" w:pos="4320"/>
                <w:tab w:val="clear" w:pos="8640"/>
              </w:tabs>
              <w:jc w:val="both"/>
            </w:pPr>
            <w:r>
              <w:t>September 1, 2017.</w:t>
            </w:r>
          </w:p>
          <w:p w:rsidR="008423E4" w:rsidRPr="00233FDB" w:rsidRDefault="00F00303" w:rsidP="00DE13DA">
            <w:pPr>
              <w:rPr>
                <w:b/>
              </w:rPr>
            </w:pPr>
          </w:p>
        </w:tc>
      </w:tr>
    </w:tbl>
    <w:p w:rsidR="008423E4" w:rsidRPr="00BE0E75" w:rsidRDefault="00F00303" w:rsidP="008423E4">
      <w:pPr>
        <w:spacing w:line="480" w:lineRule="auto"/>
        <w:jc w:val="both"/>
        <w:rPr>
          <w:rFonts w:ascii="Arial" w:hAnsi="Arial"/>
          <w:sz w:val="16"/>
          <w:szCs w:val="16"/>
        </w:rPr>
      </w:pPr>
    </w:p>
    <w:p w:rsidR="004108C3" w:rsidRPr="008423E4" w:rsidRDefault="00F00303" w:rsidP="008423E4"/>
    <w:sectPr w:rsidR="004108C3" w:rsidRPr="008423E4" w:rsidSect="006D504F">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0303">
      <w:r>
        <w:separator/>
      </w:r>
    </w:p>
  </w:endnote>
  <w:endnote w:type="continuationSeparator" w:id="0">
    <w:p w:rsidR="00000000" w:rsidRDefault="00F0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B3" w:rsidRDefault="00F00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3657A" w:rsidTr="009C1E9A">
      <w:trPr>
        <w:cantSplit/>
      </w:trPr>
      <w:tc>
        <w:tcPr>
          <w:tcW w:w="0" w:type="pct"/>
        </w:tcPr>
        <w:p w:rsidR="005B2FB3" w:rsidRDefault="00F00303" w:rsidP="009C1E9A">
          <w:pPr>
            <w:pStyle w:val="Footer"/>
            <w:tabs>
              <w:tab w:val="clear" w:pos="8640"/>
              <w:tab w:val="right" w:pos="9360"/>
            </w:tabs>
          </w:pPr>
        </w:p>
      </w:tc>
      <w:tc>
        <w:tcPr>
          <w:tcW w:w="2395" w:type="pct"/>
        </w:tcPr>
        <w:p w:rsidR="005B2FB3" w:rsidRDefault="00F00303" w:rsidP="009C1E9A">
          <w:pPr>
            <w:pStyle w:val="Footer"/>
            <w:tabs>
              <w:tab w:val="clear" w:pos="8640"/>
              <w:tab w:val="right" w:pos="9360"/>
            </w:tabs>
          </w:pPr>
        </w:p>
        <w:p w:rsidR="005B2FB3" w:rsidRDefault="00F00303" w:rsidP="009C1E9A">
          <w:pPr>
            <w:pStyle w:val="Footer"/>
            <w:tabs>
              <w:tab w:val="clear" w:pos="8640"/>
              <w:tab w:val="right" w:pos="9360"/>
            </w:tabs>
          </w:pPr>
        </w:p>
        <w:p w:rsidR="005B2FB3" w:rsidRDefault="00F00303" w:rsidP="009C1E9A">
          <w:pPr>
            <w:pStyle w:val="Footer"/>
            <w:tabs>
              <w:tab w:val="clear" w:pos="8640"/>
              <w:tab w:val="right" w:pos="9360"/>
            </w:tabs>
          </w:pPr>
        </w:p>
      </w:tc>
      <w:tc>
        <w:tcPr>
          <w:tcW w:w="2453" w:type="pct"/>
        </w:tcPr>
        <w:p w:rsidR="005B2FB3" w:rsidRDefault="00F00303" w:rsidP="009C1E9A">
          <w:pPr>
            <w:pStyle w:val="Footer"/>
            <w:tabs>
              <w:tab w:val="clear" w:pos="8640"/>
              <w:tab w:val="right" w:pos="9360"/>
            </w:tabs>
            <w:jc w:val="right"/>
          </w:pPr>
        </w:p>
      </w:tc>
    </w:tr>
    <w:tr w:rsidR="0013657A" w:rsidTr="009C1E9A">
      <w:trPr>
        <w:cantSplit/>
      </w:trPr>
      <w:tc>
        <w:tcPr>
          <w:tcW w:w="0" w:type="pct"/>
        </w:tcPr>
        <w:p w:rsidR="005B2FB3" w:rsidRDefault="00F00303" w:rsidP="009C1E9A">
          <w:pPr>
            <w:pStyle w:val="Footer"/>
            <w:tabs>
              <w:tab w:val="clear" w:pos="8640"/>
              <w:tab w:val="right" w:pos="9360"/>
            </w:tabs>
          </w:pPr>
        </w:p>
      </w:tc>
      <w:tc>
        <w:tcPr>
          <w:tcW w:w="2395" w:type="pct"/>
        </w:tcPr>
        <w:p w:rsidR="005B2FB3" w:rsidRPr="009C1E9A" w:rsidRDefault="00F00303" w:rsidP="009C1E9A">
          <w:pPr>
            <w:pStyle w:val="Footer"/>
            <w:tabs>
              <w:tab w:val="clear" w:pos="8640"/>
              <w:tab w:val="right" w:pos="9360"/>
            </w:tabs>
            <w:rPr>
              <w:rFonts w:ascii="Shruti" w:hAnsi="Shruti"/>
              <w:sz w:val="22"/>
            </w:rPr>
          </w:pPr>
          <w:r>
            <w:rPr>
              <w:rFonts w:ascii="Shruti" w:hAnsi="Shruti"/>
              <w:sz w:val="22"/>
            </w:rPr>
            <w:t>85R 16842</w:t>
          </w:r>
        </w:p>
      </w:tc>
      <w:tc>
        <w:tcPr>
          <w:tcW w:w="2453" w:type="pct"/>
        </w:tcPr>
        <w:p w:rsidR="005B2FB3" w:rsidRDefault="00F00303" w:rsidP="009C1E9A">
          <w:pPr>
            <w:pStyle w:val="Footer"/>
            <w:tabs>
              <w:tab w:val="clear" w:pos="8640"/>
              <w:tab w:val="right" w:pos="9360"/>
            </w:tabs>
            <w:jc w:val="right"/>
          </w:pPr>
          <w:r>
            <w:fldChar w:fldCharType="begin"/>
          </w:r>
          <w:r>
            <w:instrText xml:space="preserve"> DOCPROPERTY  OTID  \* MERGEFORMAT </w:instrText>
          </w:r>
          <w:r>
            <w:fldChar w:fldCharType="separate"/>
          </w:r>
          <w:r>
            <w:t>17.69.290</w:t>
          </w:r>
          <w:r>
            <w:fldChar w:fldCharType="end"/>
          </w:r>
        </w:p>
      </w:tc>
    </w:tr>
    <w:tr w:rsidR="0013657A" w:rsidTr="009C1E9A">
      <w:trPr>
        <w:cantSplit/>
      </w:trPr>
      <w:tc>
        <w:tcPr>
          <w:tcW w:w="0" w:type="pct"/>
        </w:tcPr>
        <w:p w:rsidR="005B2FB3" w:rsidRDefault="00F00303" w:rsidP="009C1E9A">
          <w:pPr>
            <w:pStyle w:val="Footer"/>
            <w:tabs>
              <w:tab w:val="clear" w:pos="4320"/>
              <w:tab w:val="clear" w:pos="8640"/>
              <w:tab w:val="left" w:pos="2865"/>
            </w:tabs>
          </w:pPr>
        </w:p>
      </w:tc>
      <w:tc>
        <w:tcPr>
          <w:tcW w:w="2395" w:type="pct"/>
        </w:tcPr>
        <w:p w:rsidR="005B2FB3" w:rsidRPr="009C1E9A" w:rsidRDefault="00F00303" w:rsidP="009C1E9A">
          <w:pPr>
            <w:pStyle w:val="Footer"/>
            <w:tabs>
              <w:tab w:val="clear" w:pos="4320"/>
              <w:tab w:val="clear" w:pos="8640"/>
              <w:tab w:val="left" w:pos="2865"/>
            </w:tabs>
            <w:rPr>
              <w:rFonts w:ascii="Shruti" w:hAnsi="Shruti"/>
              <w:sz w:val="22"/>
            </w:rPr>
          </w:pPr>
        </w:p>
      </w:tc>
      <w:tc>
        <w:tcPr>
          <w:tcW w:w="2453" w:type="pct"/>
        </w:tcPr>
        <w:p w:rsidR="005B2FB3" w:rsidRDefault="00F00303" w:rsidP="006D504F">
          <w:pPr>
            <w:pStyle w:val="Footer"/>
            <w:rPr>
              <w:rStyle w:val="PageNumber"/>
            </w:rPr>
          </w:pPr>
        </w:p>
        <w:p w:rsidR="005B2FB3" w:rsidRDefault="00F00303" w:rsidP="009C1E9A">
          <w:pPr>
            <w:pStyle w:val="Footer"/>
            <w:tabs>
              <w:tab w:val="clear" w:pos="8640"/>
              <w:tab w:val="right" w:pos="9360"/>
            </w:tabs>
            <w:jc w:val="right"/>
          </w:pPr>
        </w:p>
      </w:tc>
    </w:tr>
    <w:tr w:rsidR="0013657A" w:rsidTr="009C1E9A">
      <w:trPr>
        <w:cantSplit/>
        <w:trHeight w:val="323"/>
      </w:trPr>
      <w:tc>
        <w:tcPr>
          <w:tcW w:w="0" w:type="pct"/>
          <w:gridSpan w:val="3"/>
        </w:tcPr>
        <w:p w:rsidR="005B2FB3" w:rsidRDefault="00F0030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2FB3" w:rsidRDefault="00F00303" w:rsidP="009C1E9A">
          <w:pPr>
            <w:pStyle w:val="Footer"/>
            <w:tabs>
              <w:tab w:val="clear" w:pos="8640"/>
              <w:tab w:val="right" w:pos="9360"/>
            </w:tabs>
            <w:jc w:val="center"/>
          </w:pPr>
        </w:p>
      </w:tc>
    </w:tr>
  </w:tbl>
  <w:p w:rsidR="005B2FB3" w:rsidRPr="00FF6F72" w:rsidRDefault="00F00303"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B3" w:rsidRDefault="00F00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0303">
      <w:r>
        <w:separator/>
      </w:r>
    </w:p>
  </w:footnote>
  <w:footnote w:type="continuationSeparator" w:id="0">
    <w:p w:rsidR="00000000" w:rsidRDefault="00F00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B3" w:rsidRDefault="00F00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B3" w:rsidRDefault="00F00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B3" w:rsidRDefault="00F00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3A65"/>
    <w:multiLevelType w:val="hybridMultilevel"/>
    <w:tmpl w:val="B2864C9C"/>
    <w:lvl w:ilvl="0" w:tplc="51F82AEC">
      <w:start w:val="1"/>
      <w:numFmt w:val="lowerLetter"/>
      <w:lvlText w:val="(%1)"/>
      <w:lvlJc w:val="left"/>
      <w:pPr>
        <w:ind w:left="720" w:hanging="360"/>
      </w:pPr>
      <w:rPr>
        <w:rFonts w:hint="default"/>
      </w:rPr>
    </w:lvl>
    <w:lvl w:ilvl="1" w:tplc="E564F30A" w:tentative="1">
      <w:start w:val="1"/>
      <w:numFmt w:val="lowerLetter"/>
      <w:lvlText w:val="%2."/>
      <w:lvlJc w:val="left"/>
      <w:pPr>
        <w:ind w:left="1440" w:hanging="360"/>
      </w:pPr>
    </w:lvl>
    <w:lvl w:ilvl="2" w:tplc="6A18A004" w:tentative="1">
      <w:start w:val="1"/>
      <w:numFmt w:val="lowerRoman"/>
      <w:lvlText w:val="%3."/>
      <w:lvlJc w:val="right"/>
      <w:pPr>
        <w:ind w:left="2160" w:hanging="180"/>
      </w:pPr>
    </w:lvl>
    <w:lvl w:ilvl="3" w:tplc="570E0694" w:tentative="1">
      <w:start w:val="1"/>
      <w:numFmt w:val="decimal"/>
      <w:lvlText w:val="%4."/>
      <w:lvlJc w:val="left"/>
      <w:pPr>
        <w:ind w:left="2880" w:hanging="360"/>
      </w:pPr>
    </w:lvl>
    <w:lvl w:ilvl="4" w:tplc="9A8C8E66" w:tentative="1">
      <w:start w:val="1"/>
      <w:numFmt w:val="lowerLetter"/>
      <w:lvlText w:val="%5."/>
      <w:lvlJc w:val="left"/>
      <w:pPr>
        <w:ind w:left="3600" w:hanging="360"/>
      </w:pPr>
    </w:lvl>
    <w:lvl w:ilvl="5" w:tplc="87789C18" w:tentative="1">
      <w:start w:val="1"/>
      <w:numFmt w:val="lowerRoman"/>
      <w:lvlText w:val="%6."/>
      <w:lvlJc w:val="right"/>
      <w:pPr>
        <w:ind w:left="4320" w:hanging="180"/>
      </w:pPr>
    </w:lvl>
    <w:lvl w:ilvl="6" w:tplc="C3F2D480" w:tentative="1">
      <w:start w:val="1"/>
      <w:numFmt w:val="decimal"/>
      <w:lvlText w:val="%7."/>
      <w:lvlJc w:val="left"/>
      <w:pPr>
        <w:ind w:left="5040" w:hanging="360"/>
      </w:pPr>
    </w:lvl>
    <w:lvl w:ilvl="7" w:tplc="CF4E86DA" w:tentative="1">
      <w:start w:val="1"/>
      <w:numFmt w:val="lowerLetter"/>
      <w:lvlText w:val="%8."/>
      <w:lvlJc w:val="left"/>
      <w:pPr>
        <w:ind w:left="5760" w:hanging="360"/>
      </w:pPr>
    </w:lvl>
    <w:lvl w:ilvl="8" w:tplc="D97ADA06" w:tentative="1">
      <w:start w:val="1"/>
      <w:numFmt w:val="lowerRoman"/>
      <w:lvlText w:val="%9."/>
      <w:lvlJc w:val="right"/>
      <w:pPr>
        <w:ind w:left="6480" w:hanging="180"/>
      </w:pPr>
    </w:lvl>
  </w:abstractNum>
  <w:abstractNum w:abstractNumId="1">
    <w:nsid w:val="661E5E07"/>
    <w:multiLevelType w:val="hybridMultilevel"/>
    <w:tmpl w:val="0E727214"/>
    <w:lvl w:ilvl="0" w:tplc="3DA66CF6">
      <w:start w:val="1"/>
      <w:numFmt w:val="bullet"/>
      <w:lvlText w:val=""/>
      <w:lvlJc w:val="left"/>
      <w:pPr>
        <w:tabs>
          <w:tab w:val="num" w:pos="720"/>
        </w:tabs>
        <w:ind w:left="720" w:hanging="360"/>
      </w:pPr>
      <w:rPr>
        <w:rFonts w:ascii="Symbol" w:hAnsi="Symbol" w:hint="default"/>
      </w:rPr>
    </w:lvl>
    <w:lvl w:ilvl="1" w:tplc="9A786880" w:tentative="1">
      <w:start w:val="1"/>
      <w:numFmt w:val="bullet"/>
      <w:lvlText w:val="o"/>
      <w:lvlJc w:val="left"/>
      <w:pPr>
        <w:ind w:left="1440" w:hanging="360"/>
      </w:pPr>
      <w:rPr>
        <w:rFonts w:ascii="Courier New" w:hAnsi="Courier New" w:cs="Courier New" w:hint="default"/>
      </w:rPr>
    </w:lvl>
    <w:lvl w:ilvl="2" w:tplc="96D87C98" w:tentative="1">
      <w:start w:val="1"/>
      <w:numFmt w:val="bullet"/>
      <w:lvlText w:val=""/>
      <w:lvlJc w:val="left"/>
      <w:pPr>
        <w:ind w:left="2160" w:hanging="360"/>
      </w:pPr>
      <w:rPr>
        <w:rFonts w:ascii="Wingdings" w:hAnsi="Wingdings" w:hint="default"/>
      </w:rPr>
    </w:lvl>
    <w:lvl w:ilvl="3" w:tplc="594AF4F0" w:tentative="1">
      <w:start w:val="1"/>
      <w:numFmt w:val="bullet"/>
      <w:lvlText w:val=""/>
      <w:lvlJc w:val="left"/>
      <w:pPr>
        <w:ind w:left="2880" w:hanging="360"/>
      </w:pPr>
      <w:rPr>
        <w:rFonts w:ascii="Symbol" w:hAnsi="Symbol" w:hint="default"/>
      </w:rPr>
    </w:lvl>
    <w:lvl w:ilvl="4" w:tplc="5DF4F5C8" w:tentative="1">
      <w:start w:val="1"/>
      <w:numFmt w:val="bullet"/>
      <w:lvlText w:val="o"/>
      <w:lvlJc w:val="left"/>
      <w:pPr>
        <w:ind w:left="3600" w:hanging="360"/>
      </w:pPr>
      <w:rPr>
        <w:rFonts w:ascii="Courier New" w:hAnsi="Courier New" w:cs="Courier New" w:hint="default"/>
      </w:rPr>
    </w:lvl>
    <w:lvl w:ilvl="5" w:tplc="C14E58E2" w:tentative="1">
      <w:start w:val="1"/>
      <w:numFmt w:val="bullet"/>
      <w:lvlText w:val=""/>
      <w:lvlJc w:val="left"/>
      <w:pPr>
        <w:ind w:left="4320" w:hanging="360"/>
      </w:pPr>
      <w:rPr>
        <w:rFonts w:ascii="Wingdings" w:hAnsi="Wingdings" w:hint="default"/>
      </w:rPr>
    </w:lvl>
    <w:lvl w:ilvl="6" w:tplc="5AB8D212" w:tentative="1">
      <w:start w:val="1"/>
      <w:numFmt w:val="bullet"/>
      <w:lvlText w:val=""/>
      <w:lvlJc w:val="left"/>
      <w:pPr>
        <w:ind w:left="5040" w:hanging="360"/>
      </w:pPr>
      <w:rPr>
        <w:rFonts w:ascii="Symbol" w:hAnsi="Symbol" w:hint="default"/>
      </w:rPr>
    </w:lvl>
    <w:lvl w:ilvl="7" w:tplc="A7A022AE" w:tentative="1">
      <w:start w:val="1"/>
      <w:numFmt w:val="bullet"/>
      <w:lvlText w:val="o"/>
      <w:lvlJc w:val="left"/>
      <w:pPr>
        <w:ind w:left="5760" w:hanging="360"/>
      </w:pPr>
      <w:rPr>
        <w:rFonts w:ascii="Courier New" w:hAnsi="Courier New" w:cs="Courier New" w:hint="default"/>
      </w:rPr>
    </w:lvl>
    <w:lvl w:ilvl="8" w:tplc="E2B8418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7A"/>
    <w:rsid w:val="0013657A"/>
    <w:rsid w:val="00F0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623D9"/>
    <w:rPr>
      <w:sz w:val="16"/>
      <w:szCs w:val="16"/>
    </w:rPr>
  </w:style>
  <w:style w:type="paragraph" w:styleId="CommentText">
    <w:name w:val="annotation text"/>
    <w:basedOn w:val="Normal"/>
    <w:link w:val="CommentTextChar"/>
    <w:rsid w:val="00B623D9"/>
    <w:rPr>
      <w:sz w:val="20"/>
      <w:szCs w:val="20"/>
    </w:rPr>
  </w:style>
  <w:style w:type="character" w:customStyle="1" w:styleId="CommentTextChar">
    <w:name w:val="Comment Text Char"/>
    <w:basedOn w:val="DefaultParagraphFont"/>
    <w:link w:val="CommentText"/>
    <w:rsid w:val="00B623D9"/>
  </w:style>
  <w:style w:type="paragraph" w:styleId="CommentSubject">
    <w:name w:val="annotation subject"/>
    <w:basedOn w:val="CommentText"/>
    <w:next w:val="CommentText"/>
    <w:link w:val="CommentSubjectChar"/>
    <w:rsid w:val="00B623D9"/>
    <w:rPr>
      <w:b/>
      <w:bCs/>
    </w:rPr>
  </w:style>
  <w:style w:type="character" w:customStyle="1" w:styleId="CommentSubjectChar">
    <w:name w:val="Comment Subject Char"/>
    <w:basedOn w:val="CommentTextChar"/>
    <w:link w:val="CommentSubject"/>
    <w:rsid w:val="00B623D9"/>
    <w:rPr>
      <w:b/>
      <w:bCs/>
    </w:rPr>
  </w:style>
  <w:style w:type="paragraph" w:styleId="Revision">
    <w:name w:val="Revision"/>
    <w:hidden/>
    <w:uiPriority w:val="99"/>
    <w:semiHidden/>
    <w:rsid w:val="00883D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623D9"/>
    <w:rPr>
      <w:sz w:val="16"/>
      <w:szCs w:val="16"/>
    </w:rPr>
  </w:style>
  <w:style w:type="paragraph" w:styleId="CommentText">
    <w:name w:val="annotation text"/>
    <w:basedOn w:val="Normal"/>
    <w:link w:val="CommentTextChar"/>
    <w:rsid w:val="00B623D9"/>
    <w:rPr>
      <w:sz w:val="20"/>
      <w:szCs w:val="20"/>
    </w:rPr>
  </w:style>
  <w:style w:type="character" w:customStyle="1" w:styleId="CommentTextChar">
    <w:name w:val="Comment Text Char"/>
    <w:basedOn w:val="DefaultParagraphFont"/>
    <w:link w:val="CommentText"/>
    <w:rsid w:val="00B623D9"/>
  </w:style>
  <w:style w:type="paragraph" w:styleId="CommentSubject">
    <w:name w:val="annotation subject"/>
    <w:basedOn w:val="CommentText"/>
    <w:next w:val="CommentText"/>
    <w:link w:val="CommentSubjectChar"/>
    <w:rsid w:val="00B623D9"/>
    <w:rPr>
      <w:b/>
      <w:bCs/>
    </w:rPr>
  </w:style>
  <w:style w:type="character" w:customStyle="1" w:styleId="CommentSubjectChar">
    <w:name w:val="Comment Subject Char"/>
    <w:basedOn w:val="CommentTextChar"/>
    <w:link w:val="CommentSubject"/>
    <w:rsid w:val="00B623D9"/>
    <w:rPr>
      <w:b/>
      <w:bCs/>
    </w:rPr>
  </w:style>
  <w:style w:type="paragraph" w:styleId="Revision">
    <w:name w:val="Revision"/>
    <w:hidden/>
    <w:uiPriority w:val="99"/>
    <w:semiHidden/>
    <w:rsid w:val="00883D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11470</Characters>
  <Application>Microsoft Office Word</Application>
  <DocSecurity>4</DocSecurity>
  <Lines>190</Lines>
  <Paragraphs>33</Paragraphs>
  <ScaleCrop>false</ScaleCrop>
  <HeadingPairs>
    <vt:vector size="2" baseType="variant">
      <vt:variant>
        <vt:lpstr>Title</vt:lpstr>
      </vt:variant>
      <vt:variant>
        <vt:i4>1</vt:i4>
      </vt:variant>
    </vt:vector>
  </HeadingPairs>
  <TitlesOfParts>
    <vt:vector size="1" baseType="lpstr">
      <vt:lpstr>BA - HB01292 (Committee Report (Unamended))</vt:lpstr>
    </vt:vector>
  </TitlesOfParts>
  <Company>State of Texas</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16842</dc:subject>
  <dc:creator>State of Texas</dc:creator>
  <dc:description>HB 1292 by Raymond-(H)Public Health</dc:description>
  <cp:lastModifiedBy>Brianna Weis</cp:lastModifiedBy>
  <cp:revision>2</cp:revision>
  <cp:lastPrinted>2017-03-10T17:25:00Z</cp:lastPrinted>
  <dcterms:created xsi:type="dcterms:W3CDTF">2017-03-29T15:43:00Z</dcterms:created>
  <dcterms:modified xsi:type="dcterms:W3CDTF">2017-03-29T15:43:00Z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17.69.290</vt:lpwstr>
  </property>
</Properties>
</file>