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E0289" w:rsidTr="00345119">
        <w:tc>
          <w:tcPr>
            <w:tcW w:w="9576" w:type="dxa"/>
            <w:noWrap/>
          </w:tcPr>
          <w:p w:rsidR="008423E4" w:rsidRPr="0022177D" w:rsidRDefault="00C4587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45879" w:rsidP="008423E4">
      <w:pPr>
        <w:jc w:val="center"/>
      </w:pPr>
    </w:p>
    <w:p w:rsidR="008423E4" w:rsidRPr="00B31F0E" w:rsidRDefault="00C45879" w:rsidP="008423E4"/>
    <w:p w:rsidR="008423E4" w:rsidRPr="00742794" w:rsidRDefault="00C4587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E0289" w:rsidTr="00345119">
        <w:tc>
          <w:tcPr>
            <w:tcW w:w="9576" w:type="dxa"/>
          </w:tcPr>
          <w:p w:rsidR="008423E4" w:rsidRPr="00861995" w:rsidRDefault="00C45879" w:rsidP="00345119">
            <w:pPr>
              <w:jc w:val="right"/>
            </w:pPr>
            <w:r>
              <w:t>H.B. 1436</w:t>
            </w:r>
          </w:p>
        </w:tc>
      </w:tr>
      <w:tr w:rsidR="007E0289" w:rsidTr="00345119">
        <w:tc>
          <w:tcPr>
            <w:tcW w:w="9576" w:type="dxa"/>
          </w:tcPr>
          <w:p w:rsidR="008423E4" w:rsidRPr="00861995" w:rsidRDefault="00C45879" w:rsidP="004342CE">
            <w:pPr>
              <w:jc w:val="right"/>
            </w:pPr>
            <w:r>
              <w:t xml:space="preserve">By: </w:t>
            </w:r>
            <w:r>
              <w:t>Wu</w:t>
            </w:r>
          </w:p>
        </w:tc>
      </w:tr>
      <w:tr w:rsidR="007E0289" w:rsidTr="00345119">
        <w:tc>
          <w:tcPr>
            <w:tcW w:w="9576" w:type="dxa"/>
          </w:tcPr>
          <w:p w:rsidR="008423E4" w:rsidRPr="00861995" w:rsidRDefault="00C45879" w:rsidP="00345119">
            <w:pPr>
              <w:jc w:val="right"/>
            </w:pPr>
            <w:r>
              <w:t>Criminal Jurisprudence</w:t>
            </w:r>
          </w:p>
        </w:tc>
      </w:tr>
      <w:tr w:rsidR="007E0289" w:rsidTr="00345119">
        <w:tc>
          <w:tcPr>
            <w:tcW w:w="9576" w:type="dxa"/>
          </w:tcPr>
          <w:p w:rsidR="008423E4" w:rsidRDefault="00C45879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C45879" w:rsidP="008423E4">
      <w:pPr>
        <w:tabs>
          <w:tab w:val="right" w:pos="9360"/>
        </w:tabs>
      </w:pPr>
    </w:p>
    <w:p w:rsidR="008423E4" w:rsidRDefault="00C45879" w:rsidP="008423E4"/>
    <w:p w:rsidR="008423E4" w:rsidRDefault="00C4587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E0289" w:rsidTr="00345119">
        <w:tc>
          <w:tcPr>
            <w:tcW w:w="9576" w:type="dxa"/>
          </w:tcPr>
          <w:p w:rsidR="008423E4" w:rsidRPr="00A8133F" w:rsidRDefault="00C45879" w:rsidP="00D5430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45879" w:rsidP="00D54306"/>
          <w:p w:rsidR="008423E4" w:rsidRDefault="00C45879" w:rsidP="00E43E2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 contend that c</w:t>
            </w:r>
            <w:r w:rsidRPr="00823AAE">
              <w:t>urrent open-container laws increase</w:t>
            </w:r>
            <w:r>
              <w:t xml:space="preserve"> the</w:t>
            </w:r>
            <w:r w:rsidRPr="00823AAE">
              <w:t xml:space="preserve"> likelihood that </w:t>
            </w:r>
            <w:r>
              <w:t xml:space="preserve">a </w:t>
            </w:r>
            <w:r w:rsidRPr="00823AAE">
              <w:t xml:space="preserve">driver </w:t>
            </w:r>
            <w:r>
              <w:t xml:space="preserve">in possession of an inadequately </w:t>
            </w:r>
            <w:r>
              <w:t>sealed alcoholic</w:t>
            </w:r>
            <w:r w:rsidRPr="00823AAE">
              <w:t xml:space="preserve"> beverage </w:t>
            </w:r>
            <w:r>
              <w:t>may</w:t>
            </w:r>
            <w:r w:rsidRPr="00823AAE">
              <w:t xml:space="preserve"> </w:t>
            </w:r>
            <w:r>
              <w:t>consume the beverage while operating the vehicle</w:t>
            </w:r>
            <w:r w:rsidRPr="00823AAE">
              <w:t>. H.B. 1436</w:t>
            </w:r>
            <w:r>
              <w:t xml:space="preserve"> seeks to address this issue</w:t>
            </w:r>
            <w:r w:rsidRPr="00823AAE">
              <w:t xml:space="preserve"> by </w:t>
            </w:r>
            <w:r>
              <w:t xml:space="preserve">revising the definition of "open container" for </w:t>
            </w:r>
            <w:r>
              <w:t xml:space="preserve">purposes of the offense </w:t>
            </w:r>
            <w:r>
              <w:t>of</w:t>
            </w:r>
            <w:r>
              <w:t xml:space="preserve"> </w:t>
            </w:r>
            <w:r>
              <w:t>possessing</w:t>
            </w:r>
            <w:r>
              <w:t xml:space="preserve"> an alcoholic beverage in a motor vehicle</w:t>
            </w:r>
            <w:r w:rsidRPr="00823AAE">
              <w:t>.</w:t>
            </w:r>
          </w:p>
          <w:p w:rsidR="008423E4" w:rsidRPr="00E26B13" w:rsidRDefault="00C45879">
            <w:pPr>
              <w:rPr>
                <w:b/>
              </w:rPr>
            </w:pPr>
          </w:p>
        </w:tc>
      </w:tr>
      <w:tr w:rsidR="007E0289" w:rsidTr="00345119">
        <w:tc>
          <w:tcPr>
            <w:tcW w:w="9576" w:type="dxa"/>
          </w:tcPr>
          <w:p w:rsidR="0017725B" w:rsidRDefault="00C4587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</w:t>
            </w:r>
            <w:r>
              <w:rPr>
                <w:b/>
                <w:u w:val="single"/>
              </w:rPr>
              <w:t>NAL JUSTICE IMPACT</w:t>
            </w:r>
          </w:p>
          <w:p w:rsidR="0017725B" w:rsidRDefault="00C45879">
            <w:pPr>
              <w:rPr>
                <w:b/>
                <w:u w:val="single"/>
              </w:rPr>
            </w:pPr>
          </w:p>
          <w:p w:rsidR="00A00D91" w:rsidRPr="00A00D91" w:rsidRDefault="00C45879" w:rsidP="00E43E28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</w:t>
            </w:r>
            <w:r>
              <w:t>, parole, or mandatory supervision.</w:t>
            </w:r>
          </w:p>
          <w:p w:rsidR="0017725B" w:rsidRPr="0017725B" w:rsidRDefault="00C45879">
            <w:pPr>
              <w:rPr>
                <w:b/>
                <w:u w:val="single"/>
              </w:rPr>
            </w:pPr>
          </w:p>
        </w:tc>
      </w:tr>
      <w:tr w:rsidR="007E0289" w:rsidTr="00345119">
        <w:tc>
          <w:tcPr>
            <w:tcW w:w="9576" w:type="dxa"/>
          </w:tcPr>
          <w:p w:rsidR="008423E4" w:rsidRPr="00A8133F" w:rsidRDefault="00C4587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45879"/>
          <w:p w:rsidR="00A00D91" w:rsidRDefault="00C45879" w:rsidP="00E43E2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C45879">
            <w:pPr>
              <w:rPr>
                <w:b/>
              </w:rPr>
            </w:pPr>
          </w:p>
        </w:tc>
      </w:tr>
      <w:tr w:rsidR="007E0289" w:rsidTr="00345119">
        <w:tc>
          <w:tcPr>
            <w:tcW w:w="9576" w:type="dxa"/>
          </w:tcPr>
          <w:p w:rsidR="008423E4" w:rsidRPr="00A8133F" w:rsidRDefault="00C4587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45879"/>
          <w:p w:rsidR="008423E4" w:rsidRDefault="00C45879" w:rsidP="00E43E2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1436 amends the</w:t>
            </w:r>
            <w:r>
              <w:t xml:space="preserve"> Penal Code to redefine "open container</w:t>
            </w:r>
            <w:r>
              <w:t>,</w:t>
            </w:r>
            <w:r>
              <w:t xml:space="preserve">" for purposes of </w:t>
            </w:r>
            <w:r>
              <w:t xml:space="preserve">the offense of </w:t>
            </w:r>
            <w:r>
              <w:t>possessing</w:t>
            </w:r>
            <w:r>
              <w:t xml:space="preserve"> an</w:t>
            </w:r>
            <w:r>
              <w:t xml:space="preserve"> alcoholic beverage in </w:t>
            </w:r>
            <w:r>
              <w:t xml:space="preserve">a </w:t>
            </w:r>
            <w:r>
              <w:t>motor vehicle</w:t>
            </w:r>
            <w:r>
              <w:t>,</w:t>
            </w:r>
            <w:r>
              <w:t xml:space="preserve"> </w:t>
            </w:r>
            <w:r>
              <w:t xml:space="preserve">from </w:t>
            </w:r>
            <w:r w:rsidRPr="00FA2758">
              <w:t>a bottle, can, or other receptacle that contains any amount of alcoholic beverage</w:t>
            </w:r>
            <w:r>
              <w:t xml:space="preserve"> and that is open, that has been opened, tha</w:t>
            </w:r>
            <w:r>
              <w:t>t has a broken seal, or the contents of which are partially removed to</w:t>
            </w:r>
            <w:r>
              <w:t xml:space="preserve"> a </w:t>
            </w:r>
            <w:r w:rsidRPr="00A00D91">
              <w:t>bottle, can, or other receptacle that contains any amount of alcoholic beverage other than a receptacle that is factory-sealed by the manufacturer of the alcoholic beverage</w:t>
            </w:r>
            <w:r>
              <w:t>.</w:t>
            </w:r>
          </w:p>
          <w:p w:rsidR="008423E4" w:rsidRPr="00835628" w:rsidRDefault="00C45879">
            <w:pPr>
              <w:rPr>
                <w:b/>
              </w:rPr>
            </w:pPr>
          </w:p>
        </w:tc>
      </w:tr>
      <w:tr w:rsidR="007E0289" w:rsidTr="00345119">
        <w:tc>
          <w:tcPr>
            <w:tcW w:w="9576" w:type="dxa"/>
          </w:tcPr>
          <w:p w:rsidR="008423E4" w:rsidRPr="00A8133F" w:rsidRDefault="00C4587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</w:t>
            </w:r>
            <w:r w:rsidRPr="009C1E9A">
              <w:rPr>
                <w:b/>
                <w:u w:val="single"/>
              </w:rPr>
              <w:t>VE DATE</w:t>
            </w:r>
            <w:r>
              <w:rPr>
                <w:b/>
              </w:rPr>
              <w:t xml:space="preserve"> </w:t>
            </w:r>
          </w:p>
          <w:p w:rsidR="008423E4" w:rsidRDefault="00C45879"/>
          <w:p w:rsidR="008423E4" w:rsidRPr="003624F2" w:rsidRDefault="00C45879" w:rsidP="00E43E2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C45879">
            <w:pPr>
              <w:rPr>
                <w:b/>
              </w:rPr>
            </w:pPr>
          </w:p>
        </w:tc>
      </w:tr>
    </w:tbl>
    <w:p w:rsidR="008423E4" w:rsidRPr="00BE0E75" w:rsidRDefault="00C4587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45879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45879">
      <w:r>
        <w:separator/>
      </w:r>
    </w:p>
  </w:endnote>
  <w:endnote w:type="continuationSeparator" w:id="0">
    <w:p w:rsidR="00000000" w:rsidRDefault="00C4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C458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E0289" w:rsidTr="009C1E9A">
      <w:trPr>
        <w:cantSplit/>
      </w:trPr>
      <w:tc>
        <w:tcPr>
          <w:tcW w:w="0" w:type="pct"/>
        </w:tcPr>
        <w:p w:rsidR="00137D90" w:rsidRDefault="00C4587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4587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4587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4587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4587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E0289" w:rsidTr="009C1E9A">
      <w:trPr>
        <w:cantSplit/>
      </w:trPr>
      <w:tc>
        <w:tcPr>
          <w:tcW w:w="0" w:type="pct"/>
        </w:tcPr>
        <w:p w:rsidR="00EC379B" w:rsidRDefault="00C4587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4587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23281</w:t>
          </w:r>
        </w:p>
      </w:tc>
      <w:tc>
        <w:tcPr>
          <w:tcW w:w="2453" w:type="pct"/>
        </w:tcPr>
        <w:p w:rsidR="00EC379B" w:rsidRDefault="00C4587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17.102.603</w:t>
          </w:r>
          <w:r>
            <w:fldChar w:fldCharType="end"/>
          </w:r>
        </w:p>
      </w:tc>
    </w:tr>
    <w:tr w:rsidR="007E0289" w:rsidTr="009C1E9A">
      <w:trPr>
        <w:cantSplit/>
      </w:trPr>
      <w:tc>
        <w:tcPr>
          <w:tcW w:w="0" w:type="pct"/>
        </w:tcPr>
        <w:p w:rsidR="00EC379B" w:rsidRDefault="00C4587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4587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C45879" w:rsidP="006D504F">
          <w:pPr>
            <w:pStyle w:val="Footer"/>
            <w:rPr>
              <w:rStyle w:val="PageNumber"/>
            </w:rPr>
          </w:pPr>
        </w:p>
        <w:p w:rsidR="00EC379B" w:rsidRDefault="00C4587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E028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4587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4587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4587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C458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45879">
      <w:r>
        <w:separator/>
      </w:r>
    </w:p>
  </w:footnote>
  <w:footnote w:type="continuationSeparator" w:id="0">
    <w:p w:rsidR="00000000" w:rsidRDefault="00C45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C458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C458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C458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289"/>
    <w:rsid w:val="007E0289"/>
    <w:rsid w:val="00C4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00D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0D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00D91"/>
  </w:style>
  <w:style w:type="paragraph" w:styleId="CommentSubject">
    <w:name w:val="annotation subject"/>
    <w:basedOn w:val="CommentText"/>
    <w:next w:val="CommentText"/>
    <w:link w:val="CommentSubjectChar"/>
    <w:rsid w:val="00A00D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00D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00D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0D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00D91"/>
  </w:style>
  <w:style w:type="paragraph" w:styleId="CommentSubject">
    <w:name w:val="annotation subject"/>
    <w:basedOn w:val="CommentText"/>
    <w:next w:val="CommentText"/>
    <w:link w:val="CommentSubjectChar"/>
    <w:rsid w:val="00A00D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00D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1297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HB01436 (Committee Report (Unamended))</vt:lpstr>
    </vt:vector>
  </TitlesOfParts>
  <Company>State of Texas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23281</dc:subject>
  <dc:creator>State of Texas</dc:creator>
  <dc:description>HB 1436 by Wu-(H)Criminal Jurisprudence</dc:description>
  <cp:lastModifiedBy>Molly Hoffman-Bricker</cp:lastModifiedBy>
  <cp:revision>2</cp:revision>
  <cp:lastPrinted>2017-04-13T15:33:00Z</cp:lastPrinted>
  <dcterms:created xsi:type="dcterms:W3CDTF">2017-05-05T01:08:00Z</dcterms:created>
  <dcterms:modified xsi:type="dcterms:W3CDTF">2017-05-05T01:08:00Z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17.102.603</vt:lpwstr>
  </property>
</Properties>
</file>