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333E" w:rsidTr="00345119">
        <w:tc>
          <w:tcPr>
            <w:tcW w:w="9576" w:type="dxa"/>
            <w:noWrap/>
          </w:tcPr>
          <w:p w:rsidR="008423E4" w:rsidRPr="0022177D" w:rsidRDefault="00E919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19E2" w:rsidP="008423E4">
      <w:pPr>
        <w:jc w:val="center"/>
      </w:pPr>
    </w:p>
    <w:p w:rsidR="008423E4" w:rsidRPr="00B31F0E" w:rsidRDefault="00E919E2" w:rsidP="008423E4"/>
    <w:p w:rsidR="008423E4" w:rsidRPr="00742794" w:rsidRDefault="00E919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333E" w:rsidTr="00345119">
        <w:tc>
          <w:tcPr>
            <w:tcW w:w="9576" w:type="dxa"/>
          </w:tcPr>
          <w:p w:rsidR="008423E4" w:rsidRPr="00861995" w:rsidRDefault="00E919E2" w:rsidP="00345119">
            <w:pPr>
              <w:jc w:val="right"/>
            </w:pPr>
            <w:r>
              <w:t>C.S.H.B. 1452</w:t>
            </w:r>
          </w:p>
        </w:tc>
      </w:tr>
      <w:tr w:rsidR="00B2333E" w:rsidTr="00345119">
        <w:tc>
          <w:tcPr>
            <w:tcW w:w="9576" w:type="dxa"/>
          </w:tcPr>
          <w:p w:rsidR="008423E4" w:rsidRPr="00861995" w:rsidRDefault="00E919E2" w:rsidP="004D7334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B2333E" w:rsidTr="00345119">
        <w:tc>
          <w:tcPr>
            <w:tcW w:w="9576" w:type="dxa"/>
          </w:tcPr>
          <w:p w:rsidR="008423E4" w:rsidRPr="00861995" w:rsidRDefault="00E919E2" w:rsidP="00345119">
            <w:pPr>
              <w:jc w:val="right"/>
            </w:pPr>
            <w:r>
              <w:t>Government Transparency &amp; Operation</w:t>
            </w:r>
          </w:p>
        </w:tc>
      </w:tr>
      <w:tr w:rsidR="00B2333E" w:rsidTr="00345119">
        <w:tc>
          <w:tcPr>
            <w:tcW w:w="9576" w:type="dxa"/>
          </w:tcPr>
          <w:p w:rsidR="008423E4" w:rsidRDefault="00E919E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919E2" w:rsidP="008423E4">
      <w:pPr>
        <w:tabs>
          <w:tab w:val="right" w:pos="9360"/>
        </w:tabs>
      </w:pPr>
    </w:p>
    <w:p w:rsidR="008423E4" w:rsidRDefault="00E919E2" w:rsidP="008423E4"/>
    <w:p w:rsidR="008423E4" w:rsidRDefault="00E919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2333E" w:rsidTr="004D7334">
        <w:tc>
          <w:tcPr>
            <w:tcW w:w="9582" w:type="dxa"/>
          </w:tcPr>
          <w:p w:rsidR="008423E4" w:rsidRPr="00A8133F" w:rsidRDefault="00E919E2" w:rsidP="004C66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19E2" w:rsidP="004C6686"/>
          <w:p w:rsidR="008423E4" w:rsidRDefault="00E919E2" w:rsidP="004C66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assert</w:t>
            </w:r>
            <w:r>
              <w:t xml:space="preserve"> that</w:t>
            </w:r>
            <w:r w:rsidRPr="00361CB2">
              <w:t xml:space="preserve"> the protection </w:t>
            </w:r>
            <w:r>
              <w:t xml:space="preserve">of </w:t>
            </w:r>
            <w:r w:rsidRPr="00361CB2">
              <w:t xml:space="preserve">election infrastructure is important. </w:t>
            </w:r>
            <w:r>
              <w:t>C.S.</w:t>
            </w:r>
            <w:r w:rsidRPr="00361CB2">
              <w:t>H</w:t>
            </w:r>
            <w:r>
              <w:t>.</w:t>
            </w:r>
            <w:r w:rsidRPr="00361CB2">
              <w:t>B</w:t>
            </w:r>
            <w:r>
              <w:t>.</w:t>
            </w:r>
            <w:r w:rsidRPr="00361CB2">
              <w:t xml:space="preserve"> 1452 </w:t>
            </w:r>
            <w:r>
              <w:t xml:space="preserve">seeks to assist with such protection by </w:t>
            </w:r>
            <w:r w:rsidRPr="00361CB2">
              <w:t>requir</w:t>
            </w:r>
            <w:r>
              <w:t>ing</w:t>
            </w:r>
            <w:r w:rsidRPr="00361CB2">
              <w:t xml:space="preserve"> the </w:t>
            </w:r>
            <w:r>
              <w:t>s</w:t>
            </w:r>
            <w:r w:rsidRPr="00361CB2">
              <w:t xml:space="preserve">ecretary of </w:t>
            </w:r>
            <w:r>
              <w:t>s</w:t>
            </w:r>
            <w:r w:rsidRPr="00361CB2">
              <w:t xml:space="preserve">tate to conduct a study </w:t>
            </w:r>
            <w:r>
              <w:t>regarding cyber attacks on election infrastructure</w:t>
            </w:r>
            <w:r w:rsidRPr="00361CB2">
              <w:t>.</w:t>
            </w:r>
          </w:p>
          <w:p w:rsidR="008423E4" w:rsidRPr="00E26B13" w:rsidRDefault="00E919E2" w:rsidP="004C6686">
            <w:pPr>
              <w:rPr>
                <w:b/>
              </w:rPr>
            </w:pPr>
          </w:p>
        </w:tc>
      </w:tr>
      <w:tr w:rsidR="00B2333E" w:rsidTr="004D7334">
        <w:tc>
          <w:tcPr>
            <w:tcW w:w="9582" w:type="dxa"/>
          </w:tcPr>
          <w:p w:rsidR="0017725B" w:rsidRDefault="00E919E2" w:rsidP="004C66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919E2" w:rsidP="004C6686">
            <w:pPr>
              <w:rPr>
                <w:b/>
                <w:u w:val="single"/>
              </w:rPr>
            </w:pPr>
          </w:p>
          <w:p w:rsidR="00D035EC" w:rsidRPr="00D035EC" w:rsidRDefault="00E919E2" w:rsidP="004C6686">
            <w:pPr>
              <w:jc w:val="both"/>
            </w:pPr>
            <w:r>
              <w:t>It is the committee's opinion that this bill does not expressly create a criminal off</w:t>
            </w:r>
            <w:r>
              <w:t>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919E2" w:rsidP="004C6686">
            <w:pPr>
              <w:rPr>
                <w:b/>
                <w:u w:val="single"/>
              </w:rPr>
            </w:pPr>
          </w:p>
        </w:tc>
      </w:tr>
      <w:tr w:rsidR="00B2333E" w:rsidTr="004D7334">
        <w:tc>
          <w:tcPr>
            <w:tcW w:w="9582" w:type="dxa"/>
          </w:tcPr>
          <w:p w:rsidR="008423E4" w:rsidRPr="00A8133F" w:rsidRDefault="00E919E2" w:rsidP="004C66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919E2" w:rsidP="004C6686"/>
          <w:p w:rsidR="00D035EC" w:rsidRDefault="00E919E2" w:rsidP="004C66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</w:t>
            </w:r>
            <w:r>
              <w:t xml:space="preserve"> does not expressly grant any additional rulemaking authority to a state officer, department, agency, or institution.</w:t>
            </w:r>
          </w:p>
          <w:p w:rsidR="008423E4" w:rsidRPr="00E21FDC" w:rsidRDefault="00E919E2" w:rsidP="004C6686">
            <w:pPr>
              <w:rPr>
                <w:b/>
              </w:rPr>
            </w:pPr>
          </w:p>
        </w:tc>
      </w:tr>
      <w:tr w:rsidR="00B2333E" w:rsidTr="004D7334">
        <w:tc>
          <w:tcPr>
            <w:tcW w:w="9582" w:type="dxa"/>
          </w:tcPr>
          <w:p w:rsidR="008423E4" w:rsidRPr="00A8133F" w:rsidRDefault="00E919E2" w:rsidP="004C66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919E2" w:rsidP="004C6686"/>
          <w:p w:rsidR="008423E4" w:rsidRDefault="00E919E2" w:rsidP="004C6686">
            <w:pPr>
              <w:pStyle w:val="Header"/>
              <w:jc w:val="both"/>
            </w:pPr>
            <w:r>
              <w:t>C.S.</w:t>
            </w:r>
            <w:r>
              <w:t>H.B. 1452 amends the Election Code to require the secretary of state</w:t>
            </w:r>
            <w:r>
              <w:t>, not later than December 1, 2018,</w:t>
            </w:r>
            <w:r>
              <w:t xml:space="preserve"> to </w:t>
            </w:r>
            <w:r w:rsidRPr="00B50339">
              <w:t>conduct a study regarding cyber attacks on election infrastructure</w:t>
            </w:r>
            <w:r>
              <w:t>,</w:t>
            </w:r>
            <w:r w:rsidRPr="00B50339">
              <w:t xml:space="preserve"> </w:t>
            </w:r>
            <w:r>
              <w:t xml:space="preserve">to </w:t>
            </w:r>
            <w:r>
              <w:t xml:space="preserve">prepare a public summary </w:t>
            </w:r>
            <w:r w:rsidRPr="00B50339">
              <w:t xml:space="preserve">report </w:t>
            </w:r>
            <w:r>
              <w:t xml:space="preserve">on </w:t>
            </w:r>
            <w:r w:rsidRPr="00B50339">
              <w:t xml:space="preserve">the study's findings </w:t>
            </w:r>
            <w:r>
              <w:t>that does not contain any information the release of which may compromise any election, to prepare a confidential report on speci</w:t>
            </w:r>
            <w:r>
              <w:t xml:space="preserve">fic findings and vulnerabilities that is exempt from disclosure under </w:t>
            </w:r>
            <w:r>
              <w:t>state</w:t>
            </w:r>
            <w:r>
              <w:t xml:space="preserve"> public information</w:t>
            </w:r>
            <w:r>
              <w:t xml:space="preserve"> law</w:t>
            </w:r>
            <w:r>
              <w:t xml:space="preserve">, and to submit </w:t>
            </w:r>
            <w:r>
              <w:t>a copy of the</w:t>
            </w:r>
            <w:r>
              <w:t xml:space="preserve"> </w:t>
            </w:r>
            <w:r>
              <w:t xml:space="preserve">public summary </w:t>
            </w:r>
            <w:r>
              <w:t xml:space="preserve">report </w:t>
            </w:r>
            <w:r>
              <w:t xml:space="preserve">and a general compilation of the confidential report that does not contain any information the release of </w:t>
            </w:r>
            <w:r>
              <w:t xml:space="preserve">which may compromise any election </w:t>
            </w:r>
            <w:r w:rsidRPr="00B50339">
              <w:t>to the standing committees of the legislature with jurisdiction over election procedures.</w:t>
            </w:r>
            <w:r>
              <w:t xml:space="preserve"> The bill requires </w:t>
            </w:r>
            <w:r>
              <w:t>the</w:t>
            </w:r>
            <w:r>
              <w:t xml:space="preserve"> study to include an investigation of vulnerabilities and risks for a cyber attack against</w:t>
            </w:r>
            <w:r>
              <w:t xml:space="preserve"> </w:t>
            </w:r>
            <w:r>
              <w:t xml:space="preserve">a county's </w:t>
            </w:r>
            <w:r>
              <w:t>voting sy</w:t>
            </w:r>
            <w:r>
              <w:t>stem machines</w:t>
            </w:r>
            <w:r>
              <w:t xml:space="preserve"> or</w:t>
            </w:r>
            <w:r>
              <w:t xml:space="preserve"> the list of registered voters,</w:t>
            </w:r>
            <w:r>
              <w:t xml:space="preserve"> </w:t>
            </w:r>
            <w:r>
              <w:t xml:space="preserve">information on </w:t>
            </w:r>
            <w:r>
              <w:t>any such</w:t>
            </w:r>
            <w:r>
              <w:t xml:space="preserve"> </w:t>
            </w:r>
            <w:r>
              <w:t>attempted cyber attack</w:t>
            </w:r>
            <w:r>
              <w:t>,</w:t>
            </w:r>
            <w:r>
              <w:t xml:space="preserve"> </w:t>
            </w:r>
            <w:r>
              <w:t>and recommendations for protect</w:t>
            </w:r>
            <w:r>
              <w:t>i</w:t>
            </w:r>
            <w:r>
              <w:t xml:space="preserve">ng </w:t>
            </w:r>
            <w:r>
              <w:t>such</w:t>
            </w:r>
            <w:r>
              <w:t xml:space="preserve"> machines </w:t>
            </w:r>
            <w:r>
              <w:t xml:space="preserve">and </w:t>
            </w:r>
            <w:r>
              <w:t xml:space="preserve">list from </w:t>
            </w:r>
            <w:r>
              <w:t>a cyber attack</w:t>
            </w:r>
            <w:r>
              <w:t xml:space="preserve">. </w:t>
            </w:r>
            <w:r>
              <w:t>The bill authorizes the secretary of state</w:t>
            </w:r>
            <w:r>
              <w:t>, using existing resources,</w:t>
            </w:r>
            <w:r>
              <w:t xml:space="preserve"> </w:t>
            </w:r>
            <w:r>
              <w:t xml:space="preserve">to </w:t>
            </w:r>
            <w:r w:rsidRPr="00D035EC">
              <w:t>con</w:t>
            </w:r>
            <w:r>
              <w:t>tract</w:t>
            </w:r>
            <w:r w:rsidRPr="00D035EC">
              <w:t xml:space="preserve"> with </w:t>
            </w:r>
            <w:r>
              <w:t xml:space="preserve">a qualified vendor to conduct </w:t>
            </w:r>
            <w:r>
              <w:t>the</w:t>
            </w:r>
            <w:r>
              <w:t xml:space="preserve"> study.</w:t>
            </w:r>
            <w:r>
              <w:t xml:space="preserve"> These provisions expire January 1, 2019.</w:t>
            </w:r>
          </w:p>
          <w:p w:rsidR="008423E4" w:rsidRPr="00835628" w:rsidRDefault="00E919E2" w:rsidP="004C6686">
            <w:pPr>
              <w:rPr>
                <w:b/>
              </w:rPr>
            </w:pPr>
          </w:p>
        </w:tc>
      </w:tr>
      <w:tr w:rsidR="00B2333E" w:rsidTr="004D7334">
        <w:tc>
          <w:tcPr>
            <w:tcW w:w="9582" w:type="dxa"/>
          </w:tcPr>
          <w:p w:rsidR="008423E4" w:rsidRPr="00A8133F" w:rsidRDefault="00E919E2" w:rsidP="004C66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19E2" w:rsidP="004C6686"/>
          <w:p w:rsidR="008423E4" w:rsidRPr="003624F2" w:rsidRDefault="00E919E2" w:rsidP="004C66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919E2" w:rsidP="004C6686">
            <w:pPr>
              <w:rPr>
                <w:b/>
              </w:rPr>
            </w:pPr>
          </w:p>
        </w:tc>
      </w:tr>
      <w:tr w:rsidR="00B2333E" w:rsidTr="004D7334">
        <w:tc>
          <w:tcPr>
            <w:tcW w:w="9582" w:type="dxa"/>
          </w:tcPr>
          <w:p w:rsidR="004D7334" w:rsidRDefault="00E919E2" w:rsidP="004C668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44FA4" w:rsidRDefault="00E919E2" w:rsidP="004C6686">
            <w:pPr>
              <w:jc w:val="both"/>
            </w:pPr>
          </w:p>
          <w:p w:rsidR="00D44FA4" w:rsidRDefault="00E919E2" w:rsidP="004C6686">
            <w:pPr>
              <w:jc w:val="both"/>
            </w:pPr>
            <w:r>
              <w:t xml:space="preserve">While C.S.H.B. 1452 may </w:t>
            </w:r>
            <w:r>
              <w:t>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D44FA4" w:rsidRDefault="00E919E2" w:rsidP="004C6686">
            <w:pPr>
              <w:jc w:val="both"/>
            </w:pPr>
          </w:p>
          <w:p w:rsidR="004C6686" w:rsidRPr="00D44FA4" w:rsidRDefault="00E919E2" w:rsidP="004C6686">
            <w:pPr>
              <w:jc w:val="both"/>
            </w:pPr>
          </w:p>
        </w:tc>
      </w:tr>
      <w:tr w:rsidR="00B2333E" w:rsidTr="004D7334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B2333E" w:rsidTr="00801851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4D7334" w:rsidRDefault="00E919E2" w:rsidP="004C6686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4D7334" w:rsidRDefault="00E919E2" w:rsidP="004C6686">
                  <w:pPr>
                    <w:jc w:val="center"/>
                  </w:pPr>
                  <w:r>
                    <w:t xml:space="preserve">HOUSE </w:t>
                  </w:r>
                  <w:r>
                    <w:t>COMMITTEE SUBSTITUTE</w:t>
                  </w:r>
                </w:p>
              </w:tc>
            </w:tr>
            <w:tr w:rsidR="00B2333E" w:rsidTr="00801851">
              <w:tc>
                <w:tcPr>
                  <w:tcW w:w="4673" w:type="dxa"/>
                  <w:tcMar>
                    <w:right w:w="360" w:type="dxa"/>
                  </w:tcMar>
                </w:tcPr>
                <w:p w:rsidR="004D7334" w:rsidRDefault="00E919E2" w:rsidP="004C6686">
                  <w:pPr>
                    <w:jc w:val="both"/>
                  </w:pPr>
                  <w:r>
                    <w:t>SECTION 1.  Chapter 31, Election Code, is amended by adding Section 31.013 to read as follows:</w:t>
                  </w:r>
                </w:p>
                <w:p w:rsidR="0061624F" w:rsidRDefault="00E919E2" w:rsidP="004C6686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31.013.  ELECTION CYBER ATTACK STUDY.  (a)  Not later than December 1, 2018, the secretary of state shall </w:t>
                  </w:r>
                </w:p>
                <w:p w:rsidR="00D44FA4" w:rsidRDefault="00E919E2" w:rsidP="004C6686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conduct a study regarding c</w:t>
                  </w:r>
                  <w:r>
                    <w:rPr>
                      <w:u w:val="single"/>
                    </w:rPr>
                    <w:t xml:space="preserve">yber attacks on election infrastructure </w:t>
                  </w:r>
                </w:p>
                <w:p w:rsidR="001923B2" w:rsidRDefault="00E919E2" w:rsidP="004C6686">
                  <w:pPr>
                    <w:jc w:val="both"/>
                    <w:rPr>
                      <w:u w:val="single"/>
                    </w:rPr>
                  </w:pPr>
                  <w:r w:rsidRPr="00D44FA4">
                    <w:rPr>
                      <w:u w:val="single"/>
                    </w:rPr>
                    <w:t xml:space="preserve">and shall </w:t>
                  </w:r>
                  <w:r w:rsidRPr="00DC4E11">
                    <w:rPr>
                      <w:highlight w:val="lightGray"/>
                      <w:u w:val="single"/>
                    </w:rPr>
                    <w:t>r</w:t>
                  </w:r>
                  <w:r w:rsidRPr="00B607C7">
                    <w:rPr>
                      <w:highlight w:val="lightGray"/>
                      <w:u w:val="single"/>
                    </w:rPr>
                    <w:t>eport the study's findings</w:t>
                  </w:r>
                  <w:r w:rsidRPr="00E9711A">
                    <w:rPr>
                      <w:highlight w:val="lightGray"/>
                      <w:u w:val="single"/>
                    </w:rPr>
                    <w:t xml:space="preserve"> to the standing committees of the legislature with jurisdiction over election procedures.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DC4E11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DC4E11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DC4E11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DC4E11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2A1094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2A1094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2A1094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2A1094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2A1094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2A1094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2A1094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2A1094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DC4E11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4D7334" w:rsidRDefault="00E919E2" w:rsidP="004C6686">
                  <w:pPr>
                    <w:jc w:val="both"/>
                  </w:pPr>
                  <w:r>
                    <w:rPr>
                      <w:u w:val="single"/>
                    </w:rPr>
                    <w:t>The study shall include:</w:t>
                  </w:r>
                </w:p>
                <w:p w:rsidR="004D7334" w:rsidRDefault="00E919E2" w:rsidP="004C6686">
                  <w:pPr>
                    <w:jc w:val="both"/>
                  </w:pPr>
                  <w:r>
                    <w:rPr>
                      <w:u w:val="single"/>
                    </w:rPr>
                    <w:t xml:space="preserve">(1)  an investigation of vulnerabilities and risks for a cyber attack against voting system machines, the list of registered voters, </w:t>
                  </w:r>
                  <w:r w:rsidRPr="001923B2">
                    <w:rPr>
                      <w:highlight w:val="lightGray"/>
                      <w:u w:val="single"/>
                    </w:rPr>
                    <w:t>and election administrators' websites</w:t>
                  </w:r>
                  <w:r>
                    <w:rPr>
                      <w:u w:val="single"/>
                    </w:rPr>
                    <w:t>;</w:t>
                  </w:r>
                </w:p>
                <w:p w:rsidR="004D7334" w:rsidRDefault="00E919E2" w:rsidP="004C6686">
                  <w:pPr>
                    <w:jc w:val="both"/>
                  </w:pPr>
                  <w:r>
                    <w:rPr>
                      <w:u w:val="single"/>
                    </w:rPr>
                    <w:t>(2)  information on any attempted cyber attack on voting system machines, the list o</w:t>
                  </w:r>
                  <w:r>
                    <w:rPr>
                      <w:u w:val="single"/>
                    </w:rPr>
                    <w:t xml:space="preserve">f registered voters, </w:t>
                  </w:r>
                  <w:r w:rsidRPr="001923B2">
                    <w:rPr>
                      <w:highlight w:val="lightGray"/>
                      <w:u w:val="single"/>
                    </w:rPr>
                    <w:t>and election administrators' websites</w:t>
                  </w:r>
                  <w:r>
                    <w:rPr>
                      <w:u w:val="single"/>
                    </w:rPr>
                    <w:t>; and</w:t>
                  </w:r>
                </w:p>
                <w:p w:rsidR="004D7334" w:rsidRDefault="00E919E2" w:rsidP="004C6686">
                  <w:pPr>
                    <w:jc w:val="both"/>
                  </w:pPr>
                  <w:r>
                    <w:rPr>
                      <w:u w:val="single"/>
                    </w:rPr>
                    <w:t xml:space="preserve">(3)  recommendations for protecting voting system machines, the list of registered voters, </w:t>
                  </w:r>
                  <w:r w:rsidRPr="001923B2">
                    <w:rPr>
                      <w:highlight w:val="lightGray"/>
                      <w:u w:val="single"/>
                    </w:rPr>
                    <w:t>and election administrators' websites</w:t>
                  </w:r>
                  <w:r>
                    <w:rPr>
                      <w:u w:val="single"/>
                    </w:rPr>
                    <w:t xml:space="preserve"> from a cyber attack.</w:t>
                  </w:r>
                </w:p>
                <w:p w:rsidR="004D7334" w:rsidRDefault="00E919E2" w:rsidP="004C6686">
                  <w:pPr>
                    <w:jc w:val="both"/>
                  </w:pPr>
                  <w:r>
                    <w:rPr>
                      <w:u w:val="single"/>
                    </w:rPr>
                    <w:t xml:space="preserve">(b)  </w:t>
                  </w:r>
                  <w:r w:rsidRPr="00E9711A">
                    <w:rPr>
                      <w:u w:val="single"/>
                    </w:rPr>
                    <w:t>In conducting the study required by t</w:t>
                  </w:r>
                  <w:r w:rsidRPr="00E9711A">
                    <w:rPr>
                      <w:u w:val="single"/>
                    </w:rPr>
                    <w:t xml:space="preserve">his section, the secretary of state may </w:t>
                  </w:r>
                  <w:r w:rsidRPr="001923B2">
                    <w:rPr>
                      <w:highlight w:val="lightGray"/>
                      <w:u w:val="single"/>
                    </w:rPr>
                    <w:t>consult with any state agency with appropriate expertise, including the Department of Public Safety and the Department of Information Resources.</w:t>
                  </w:r>
                </w:p>
                <w:p w:rsidR="004D7334" w:rsidRDefault="00E919E2" w:rsidP="004C6686">
                  <w:pPr>
                    <w:jc w:val="both"/>
                  </w:pPr>
                  <w:r>
                    <w:rPr>
                      <w:u w:val="single"/>
                    </w:rPr>
                    <w:t>(c)  This section expires January 1, 2019.</w:t>
                  </w:r>
                </w:p>
                <w:p w:rsidR="004D7334" w:rsidRDefault="00E919E2" w:rsidP="004C6686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01851" w:rsidRDefault="00E919E2" w:rsidP="004C6686">
                  <w:pPr>
                    <w:jc w:val="both"/>
                  </w:pPr>
                  <w:r>
                    <w:t>SECTION 1.  Chapter 276, El</w:t>
                  </w:r>
                  <w:r>
                    <w:t>ection Code, is amended by adding Section 276.011 to read as follows:</w:t>
                  </w:r>
                </w:p>
                <w:p w:rsidR="00801851" w:rsidRDefault="00E919E2" w:rsidP="004C6686">
                  <w:pPr>
                    <w:jc w:val="both"/>
                  </w:pPr>
                  <w:r>
                    <w:rPr>
                      <w:u w:val="single"/>
                    </w:rPr>
                    <w:t>Sec. 276.011.  ELECTION CYBER ATTACK STUDY.  (a)  Not later than December 1, 2018, the secretary of state shall:</w:t>
                  </w:r>
                </w:p>
                <w:p w:rsidR="00801851" w:rsidRDefault="00E919E2" w:rsidP="004C6686">
                  <w:pPr>
                    <w:jc w:val="both"/>
                  </w:pPr>
                  <w:r>
                    <w:rPr>
                      <w:u w:val="single"/>
                    </w:rPr>
                    <w:t>(1)  conduct a study regarding cyber attacks on election infrastructure;</w:t>
                  </w:r>
                </w:p>
                <w:p w:rsidR="00801851" w:rsidRDefault="00E919E2" w:rsidP="004C6686">
                  <w:pPr>
                    <w:jc w:val="both"/>
                  </w:pPr>
                  <w:r w:rsidRPr="00801851">
                    <w:rPr>
                      <w:highlight w:val="lightGray"/>
                      <w:u w:val="single"/>
                    </w:rPr>
                    <w:t>(2)  prepare a public summary report on the study's findings that does not contain any information the release of which may compromise any election;</w:t>
                  </w:r>
                </w:p>
                <w:p w:rsidR="00801851" w:rsidRPr="00801851" w:rsidRDefault="00E919E2" w:rsidP="004C6686">
                  <w:pPr>
                    <w:jc w:val="both"/>
                    <w:rPr>
                      <w:highlight w:val="lightGray"/>
                    </w:rPr>
                  </w:pPr>
                  <w:r w:rsidRPr="00801851">
                    <w:rPr>
                      <w:highlight w:val="lightGray"/>
                      <w:u w:val="single"/>
                    </w:rPr>
                    <w:t xml:space="preserve">(3)  prepare a confidential report on specific findings and vulnerabilities that is exempt from disclosure </w:t>
                  </w:r>
                  <w:r w:rsidRPr="00801851">
                    <w:rPr>
                      <w:highlight w:val="lightGray"/>
                      <w:u w:val="single"/>
                    </w:rPr>
                    <w:t>under Chapter 552, Government Code; and</w:t>
                  </w:r>
                </w:p>
                <w:p w:rsidR="00801851" w:rsidRDefault="00E919E2" w:rsidP="004C6686">
                  <w:pPr>
                    <w:jc w:val="both"/>
                  </w:pPr>
                  <w:r w:rsidRPr="00801851">
                    <w:rPr>
                      <w:highlight w:val="lightGray"/>
                      <w:u w:val="single"/>
                    </w:rPr>
                    <w:t>(4)  submit a copy of the report required under Subdivision (2) and a general compilation of the report required under Subdivision (3) that does not contain any information the release of which may compromise any ele</w:t>
                  </w:r>
                  <w:r w:rsidRPr="00801851">
                    <w:rPr>
                      <w:highlight w:val="lightGray"/>
                      <w:u w:val="single"/>
                    </w:rPr>
                    <w:t>ctio</w:t>
                  </w:r>
                  <w:r w:rsidRPr="00B607C7">
                    <w:rPr>
                      <w:highlight w:val="lightGray"/>
                      <w:u w:val="single"/>
                    </w:rPr>
                    <w:t>n</w:t>
                  </w:r>
                  <w:r w:rsidRPr="00E9711A">
                    <w:rPr>
                      <w:highlight w:val="lightGray"/>
                      <w:u w:val="single"/>
                    </w:rPr>
                    <w:t xml:space="preserve"> to the standing committees of the legislature with jurisdiction over election procedures.</w:t>
                  </w:r>
                </w:p>
                <w:p w:rsidR="00801851" w:rsidRDefault="00E919E2" w:rsidP="004C6686">
                  <w:pPr>
                    <w:jc w:val="both"/>
                  </w:pPr>
                  <w:r>
                    <w:rPr>
                      <w:u w:val="single"/>
                    </w:rPr>
                    <w:t>(b)  The study must include:</w:t>
                  </w:r>
                </w:p>
                <w:p w:rsidR="00801851" w:rsidRDefault="00E919E2" w:rsidP="004C6686">
                  <w:pPr>
                    <w:jc w:val="both"/>
                  </w:pPr>
                  <w:r>
                    <w:rPr>
                      <w:u w:val="single"/>
                    </w:rPr>
                    <w:t xml:space="preserve">(1)  an investigation of vulnerabilities and risks for a cyber attack against </w:t>
                  </w:r>
                  <w:r w:rsidRPr="001923B2">
                    <w:rPr>
                      <w:highlight w:val="lightGray"/>
                      <w:u w:val="single"/>
                    </w:rPr>
                    <w:t>a county's</w:t>
                  </w:r>
                  <w:r>
                    <w:rPr>
                      <w:u w:val="single"/>
                    </w:rPr>
                    <w:t xml:space="preserve"> voting system machines or the list of regi</w:t>
                  </w:r>
                  <w:r>
                    <w:rPr>
                      <w:u w:val="single"/>
                    </w:rPr>
                    <w:t>stered voters;</w:t>
                  </w:r>
                </w:p>
                <w:p w:rsidR="00801851" w:rsidRDefault="00E919E2" w:rsidP="004C6686">
                  <w:pPr>
                    <w:jc w:val="both"/>
                  </w:pPr>
                  <w:r>
                    <w:rPr>
                      <w:u w:val="single"/>
                    </w:rPr>
                    <w:t xml:space="preserve">(2)  information on any attempted cyber attack on </w:t>
                  </w:r>
                  <w:r w:rsidRPr="001923B2">
                    <w:rPr>
                      <w:highlight w:val="lightGray"/>
                      <w:u w:val="single"/>
                    </w:rPr>
                    <w:t>a county's</w:t>
                  </w:r>
                  <w:r>
                    <w:rPr>
                      <w:u w:val="single"/>
                    </w:rPr>
                    <w:t xml:space="preserve"> voting system machines or the list of registered voters; and</w:t>
                  </w:r>
                </w:p>
                <w:p w:rsidR="001923B2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801851" w:rsidRDefault="00E919E2" w:rsidP="004C6686">
                  <w:pPr>
                    <w:jc w:val="both"/>
                  </w:pPr>
                  <w:r>
                    <w:rPr>
                      <w:u w:val="single"/>
                    </w:rPr>
                    <w:t xml:space="preserve">(3)  recommendations for protecting </w:t>
                  </w:r>
                  <w:r w:rsidRPr="001923B2">
                    <w:rPr>
                      <w:highlight w:val="lightGray"/>
                      <w:u w:val="single"/>
                    </w:rPr>
                    <w:t>a county's</w:t>
                  </w:r>
                  <w:r>
                    <w:rPr>
                      <w:u w:val="single"/>
                    </w:rPr>
                    <w:t xml:space="preserve"> voting system machines and list of registered voters from a cyber attac</w:t>
                  </w:r>
                  <w:r>
                    <w:rPr>
                      <w:u w:val="single"/>
                    </w:rPr>
                    <w:t>k.</w:t>
                  </w:r>
                </w:p>
                <w:p w:rsidR="001923B2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801851" w:rsidRDefault="00E919E2" w:rsidP="004C6686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(c)  </w:t>
                  </w:r>
                  <w:r w:rsidRPr="00E9711A">
                    <w:rPr>
                      <w:u w:val="single"/>
                    </w:rPr>
                    <w:t xml:space="preserve">The secretary of state, </w:t>
                  </w:r>
                  <w:r w:rsidRPr="0061624F">
                    <w:rPr>
                      <w:highlight w:val="lightGray"/>
                      <w:u w:val="single"/>
                    </w:rPr>
                    <w:t>using existing resources,</w:t>
                  </w:r>
                  <w:r w:rsidRPr="00E9711A">
                    <w:rPr>
                      <w:u w:val="single"/>
                    </w:rPr>
                    <w:t xml:space="preserve"> may </w:t>
                  </w:r>
                  <w:r w:rsidRPr="001923B2">
                    <w:rPr>
                      <w:highlight w:val="lightGray"/>
                      <w:u w:val="single"/>
                    </w:rPr>
                    <w:t>contract with a qualified vendor</w:t>
                  </w:r>
                  <w:r w:rsidRPr="00E9711A">
                    <w:rPr>
                      <w:u w:val="single"/>
                    </w:rPr>
                    <w:t xml:space="preserve"> to conduct the study required by this section.</w:t>
                  </w:r>
                </w:p>
                <w:p w:rsidR="001923B2" w:rsidRDefault="00E919E2" w:rsidP="004C6686">
                  <w:pPr>
                    <w:jc w:val="both"/>
                    <w:rPr>
                      <w:u w:val="single"/>
                    </w:rPr>
                  </w:pPr>
                </w:p>
                <w:p w:rsidR="001923B2" w:rsidRDefault="00E919E2" w:rsidP="004C6686">
                  <w:pPr>
                    <w:jc w:val="both"/>
                  </w:pPr>
                </w:p>
                <w:p w:rsidR="004D7334" w:rsidRDefault="00E919E2" w:rsidP="004C6686">
                  <w:pPr>
                    <w:jc w:val="both"/>
                  </w:pPr>
                  <w:r>
                    <w:rPr>
                      <w:u w:val="single"/>
                    </w:rPr>
                    <w:t>(d)  This section expires January 1, 2019.</w:t>
                  </w:r>
                </w:p>
                <w:p w:rsidR="004D7334" w:rsidRDefault="00E919E2" w:rsidP="004C6686">
                  <w:pPr>
                    <w:jc w:val="both"/>
                  </w:pPr>
                </w:p>
              </w:tc>
            </w:tr>
            <w:tr w:rsidR="00B2333E" w:rsidTr="00801851">
              <w:tc>
                <w:tcPr>
                  <w:tcW w:w="4673" w:type="dxa"/>
                  <w:tcMar>
                    <w:right w:w="360" w:type="dxa"/>
                  </w:tcMar>
                </w:tcPr>
                <w:p w:rsidR="00801851" w:rsidRDefault="00E919E2" w:rsidP="004C6686">
                  <w:pPr>
                    <w:jc w:val="both"/>
                  </w:pPr>
                  <w:r>
                    <w:t xml:space="preserve">SECTION 2.  This Act takes effect immediately if it receives a vote of two-thirds of all the members elected to each house, as provided by Section 39, Article III, Texas Constitution.  If this Act does not receive the vote necessary for immediate </w:t>
                  </w:r>
                  <w:r>
                    <w:lastRenderedPageBreak/>
                    <w:t>effect, t</w:t>
                  </w:r>
                  <w:r>
                    <w:t>his Act takes effect September 1, 2017.</w:t>
                  </w:r>
                </w:p>
                <w:p w:rsidR="00801851" w:rsidRDefault="00E919E2" w:rsidP="004C6686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01851" w:rsidRDefault="00E919E2" w:rsidP="004C6686">
                  <w:pPr>
                    <w:jc w:val="both"/>
                  </w:pPr>
                  <w:r>
                    <w:lastRenderedPageBreak/>
                    <w:t>SECTION 2. Same as introduced version.</w:t>
                  </w:r>
                </w:p>
                <w:p w:rsidR="00801851" w:rsidRDefault="00E919E2" w:rsidP="004C6686">
                  <w:pPr>
                    <w:jc w:val="both"/>
                  </w:pPr>
                </w:p>
                <w:p w:rsidR="00801851" w:rsidRDefault="00E919E2" w:rsidP="004C6686">
                  <w:pPr>
                    <w:jc w:val="both"/>
                  </w:pPr>
                </w:p>
              </w:tc>
            </w:tr>
            <w:tr w:rsidR="00B2333E" w:rsidTr="00801851">
              <w:tc>
                <w:tcPr>
                  <w:tcW w:w="4673" w:type="dxa"/>
                  <w:tcMar>
                    <w:right w:w="360" w:type="dxa"/>
                  </w:tcMar>
                </w:tcPr>
                <w:p w:rsidR="00801851" w:rsidRDefault="00E919E2" w:rsidP="004C6686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801851" w:rsidRDefault="00E919E2" w:rsidP="004C6686">
                  <w:pPr>
                    <w:jc w:val="both"/>
                  </w:pPr>
                </w:p>
              </w:tc>
            </w:tr>
          </w:tbl>
          <w:p w:rsidR="004D7334" w:rsidRDefault="00E919E2" w:rsidP="004C6686"/>
          <w:p w:rsidR="004D7334" w:rsidRPr="009C1E9A" w:rsidRDefault="00E919E2" w:rsidP="004C6686">
            <w:pPr>
              <w:rPr>
                <w:b/>
                <w:u w:val="single"/>
              </w:rPr>
            </w:pPr>
          </w:p>
        </w:tc>
      </w:tr>
    </w:tbl>
    <w:p w:rsidR="008423E4" w:rsidRPr="00BE0E75" w:rsidRDefault="00E919E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919E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19E2">
      <w:r>
        <w:separator/>
      </w:r>
    </w:p>
  </w:endnote>
  <w:endnote w:type="continuationSeparator" w:id="0">
    <w:p w:rsidR="00000000" w:rsidRDefault="00E9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5C" w:rsidRDefault="00E9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333E" w:rsidTr="009C1E9A">
      <w:trPr>
        <w:cantSplit/>
      </w:trPr>
      <w:tc>
        <w:tcPr>
          <w:tcW w:w="0" w:type="pct"/>
        </w:tcPr>
        <w:p w:rsidR="00137D90" w:rsidRDefault="00E919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19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19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19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19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333E" w:rsidTr="009C1E9A">
      <w:trPr>
        <w:cantSplit/>
      </w:trPr>
      <w:tc>
        <w:tcPr>
          <w:tcW w:w="0" w:type="pct"/>
        </w:tcPr>
        <w:p w:rsidR="00EC379B" w:rsidRDefault="00E919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19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22890</w:t>
          </w:r>
        </w:p>
      </w:tc>
      <w:tc>
        <w:tcPr>
          <w:tcW w:w="2453" w:type="pct"/>
        </w:tcPr>
        <w:p w:rsidR="00EC379B" w:rsidRDefault="00E919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17.101.346</w:t>
          </w:r>
          <w:r>
            <w:fldChar w:fldCharType="end"/>
          </w:r>
        </w:p>
      </w:tc>
    </w:tr>
    <w:tr w:rsidR="00B2333E" w:rsidTr="009C1E9A">
      <w:trPr>
        <w:cantSplit/>
      </w:trPr>
      <w:tc>
        <w:tcPr>
          <w:tcW w:w="0" w:type="pct"/>
        </w:tcPr>
        <w:p w:rsidR="00EC379B" w:rsidRDefault="00E919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19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85R 21640</w:t>
          </w:r>
        </w:p>
      </w:tc>
      <w:tc>
        <w:tcPr>
          <w:tcW w:w="2453" w:type="pct"/>
        </w:tcPr>
        <w:p w:rsidR="00EC379B" w:rsidRDefault="00E919E2" w:rsidP="006D504F">
          <w:pPr>
            <w:pStyle w:val="Footer"/>
            <w:rPr>
              <w:rStyle w:val="PageNumber"/>
            </w:rPr>
          </w:pPr>
        </w:p>
        <w:p w:rsidR="00EC379B" w:rsidRDefault="00E919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333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19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919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19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5C" w:rsidRDefault="00E9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19E2">
      <w:r>
        <w:separator/>
      </w:r>
    </w:p>
  </w:footnote>
  <w:footnote w:type="continuationSeparator" w:id="0">
    <w:p w:rsidR="00000000" w:rsidRDefault="00E9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5C" w:rsidRDefault="00E919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5C" w:rsidRDefault="00E919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5C" w:rsidRDefault="00E91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3E"/>
    <w:rsid w:val="00B2333E"/>
    <w:rsid w:val="00E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503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339"/>
  </w:style>
  <w:style w:type="paragraph" w:styleId="CommentSubject">
    <w:name w:val="annotation subject"/>
    <w:basedOn w:val="CommentText"/>
    <w:next w:val="CommentText"/>
    <w:link w:val="CommentSubjectChar"/>
    <w:rsid w:val="00B50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339"/>
    <w:rPr>
      <w:b/>
      <w:bCs/>
    </w:rPr>
  </w:style>
  <w:style w:type="paragraph" w:styleId="Revision">
    <w:name w:val="Revision"/>
    <w:hidden/>
    <w:uiPriority w:val="99"/>
    <w:semiHidden/>
    <w:rsid w:val="004453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503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339"/>
  </w:style>
  <w:style w:type="paragraph" w:styleId="CommentSubject">
    <w:name w:val="annotation subject"/>
    <w:basedOn w:val="CommentText"/>
    <w:next w:val="CommentText"/>
    <w:link w:val="CommentSubjectChar"/>
    <w:rsid w:val="00B50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339"/>
    <w:rPr>
      <w:b/>
      <w:bCs/>
    </w:rPr>
  </w:style>
  <w:style w:type="paragraph" w:styleId="Revision">
    <w:name w:val="Revision"/>
    <w:hidden/>
    <w:uiPriority w:val="99"/>
    <w:semiHidden/>
    <w:rsid w:val="00445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4650</Characters>
  <Application>Microsoft Office Word</Application>
  <DocSecurity>4</DocSecurity>
  <Lines>166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HB01452 (Committee Report (Substituted))</vt:lpstr>
    </vt:vector>
  </TitlesOfParts>
  <Company>State of Texas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22890</dc:subject>
  <dc:creator>State of Texas</dc:creator>
  <dc:description>HB 1452 by Blanco-(H)Government Transparency &amp; Operation (Substitute Document Number: 85R 21640)</dc:description>
  <cp:lastModifiedBy>Brianna Weis</cp:lastModifiedBy>
  <cp:revision>2</cp:revision>
  <cp:lastPrinted>2017-03-16T22:35:00Z</cp:lastPrinted>
  <dcterms:created xsi:type="dcterms:W3CDTF">2017-04-12T22:01:00Z</dcterms:created>
  <dcterms:modified xsi:type="dcterms:W3CDTF">2017-04-12T22:01:00Z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17.101.346</vt:lpwstr>
  </property>
</Properties>
</file>