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8547A3" w:rsidTr="00345119">
        <w:tc>
          <w:tcPr>
            <w:tcW w:w="9576" w:type="dxa"/>
            <w:noWrap/>
          </w:tcPr>
          <w:p w:rsidR="008423E4" w:rsidRPr="0022177D" w:rsidRDefault="00085CB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085CBA" w:rsidP="008423E4">
      <w:pPr>
        <w:jc w:val="center"/>
      </w:pPr>
    </w:p>
    <w:p w:rsidR="008423E4" w:rsidRPr="00B31F0E" w:rsidRDefault="00085CBA" w:rsidP="008423E4"/>
    <w:p w:rsidR="008423E4" w:rsidRPr="00742794" w:rsidRDefault="00085CB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547A3" w:rsidTr="00345119">
        <w:tc>
          <w:tcPr>
            <w:tcW w:w="9576" w:type="dxa"/>
          </w:tcPr>
          <w:p w:rsidR="008423E4" w:rsidRPr="00861995" w:rsidRDefault="00085CBA" w:rsidP="00345119">
            <w:pPr>
              <w:jc w:val="right"/>
            </w:pPr>
            <w:r>
              <w:t>C.S.H.B. 1573</w:t>
            </w:r>
          </w:p>
        </w:tc>
      </w:tr>
      <w:tr w:rsidR="008547A3" w:rsidTr="00345119">
        <w:tc>
          <w:tcPr>
            <w:tcW w:w="9576" w:type="dxa"/>
          </w:tcPr>
          <w:p w:rsidR="008423E4" w:rsidRPr="00861995" w:rsidRDefault="00085CBA" w:rsidP="00501A1E">
            <w:pPr>
              <w:jc w:val="right"/>
            </w:pPr>
            <w:r>
              <w:t xml:space="preserve">By: </w:t>
            </w:r>
            <w:r>
              <w:t>Price</w:t>
            </w:r>
          </w:p>
        </w:tc>
      </w:tr>
      <w:tr w:rsidR="008547A3" w:rsidTr="00345119">
        <w:tc>
          <w:tcPr>
            <w:tcW w:w="9576" w:type="dxa"/>
          </w:tcPr>
          <w:p w:rsidR="008423E4" w:rsidRPr="00861995" w:rsidRDefault="00085CBA" w:rsidP="00345119">
            <w:pPr>
              <w:jc w:val="right"/>
            </w:pPr>
            <w:r>
              <w:t>Natural Resources</w:t>
            </w:r>
          </w:p>
        </w:tc>
      </w:tr>
      <w:tr w:rsidR="008547A3" w:rsidTr="00345119">
        <w:tc>
          <w:tcPr>
            <w:tcW w:w="9576" w:type="dxa"/>
          </w:tcPr>
          <w:p w:rsidR="008423E4" w:rsidRDefault="00085CBA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085CBA" w:rsidP="008423E4">
      <w:pPr>
        <w:tabs>
          <w:tab w:val="right" w:pos="9360"/>
        </w:tabs>
      </w:pPr>
    </w:p>
    <w:p w:rsidR="008423E4" w:rsidRDefault="00085CBA" w:rsidP="008423E4"/>
    <w:p w:rsidR="008423E4" w:rsidRDefault="00085CB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8547A3" w:rsidTr="00501A1E">
        <w:tc>
          <w:tcPr>
            <w:tcW w:w="9582" w:type="dxa"/>
          </w:tcPr>
          <w:p w:rsidR="008423E4" w:rsidRPr="00A8133F" w:rsidRDefault="00085CBA" w:rsidP="00D932F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085CBA" w:rsidP="00D932FE"/>
          <w:p w:rsidR="008423E4" w:rsidRDefault="00085CBA" w:rsidP="00D932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Interested parties contend that</w:t>
            </w:r>
            <w:r>
              <w:t xml:space="preserve"> a water loss audit</w:t>
            </w:r>
            <w:r>
              <w:t>or should</w:t>
            </w:r>
            <w:r>
              <w:t xml:space="preserve"> </w:t>
            </w:r>
            <w:r>
              <w:t>possess</w:t>
            </w:r>
            <w:r>
              <w:t xml:space="preserve"> a</w:t>
            </w:r>
            <w:r>
              <w:t xml:space="preserve"> certain level of </w:t>
            </w:r>
            <w:r>
              <w:t xml:space="preserve">understanding of </w:t>
            </w:r>
            <w:r>
              <w:t>water</w:t>
            </w:r>
            <w:r>
              <w:t xml:space="preserve"> utility</w:t>
            </w:r>
            <w:r>
              <w:t xml:space="preserve"> </w:t>
            </w:r>
            <w:r>
              <w:t>system</w:t>
            </w:r>
            <w:r>
              <w:t xml:space="preserve">s </w:t>
            </w:r>
            <w:r>
              <w:t>and</w:t>
            </w:r>
            <w:r>
              <w:t xml:space="preserve"> other relevant</w:t>
            </w:r>
            <w:r>
              <w:t xml:space="preserve"> knowledge. </w:t>
            </w:r>
            <w:r>
              <w:t>C.S.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1573</w:t>
            </w:r>
            <w:r>
              <w:t xml:space="preserve"> seeks to address this issue </w:t>
            </w:r>
            <w:r>
              <w:t xml:space="preserve">by </w:t>
            </w:r>
            <w:r>
              <w:t xml:space="preserve">setting out </w:t>
            </w:r>
            <w:r w:rsidRPr="00B57BD2">
              <w:t xml:space="preserve">personnel </w:t>
            </w:r>
            <w:r>
              <w:t xml:space="preserve">training </w:t>
            </w:r>
            <w:r w:rsidRPr="00B57BD2">
              <w:t>requirements for water loss auditors</w:t>
            </w:r>
            <w:r>
              <w:t>.</w:t>
            </w:r>
          </w:p>
          <w:p w:rsidR="008423E4" w:rsidRPr="00E26B13" w:rsidRDefault="00085CBA" w:rsidP="00D932FE">
            <w:pPr>
              <w:rPr>
                <w:b/>
              </w:rPr>
            </w:pPr>
          </w:p>
        </w:tc>
      </w:tr>
      <w:tr w:rsidR="008547A3" w:rsidTr="00501A1E">
        <w:tc>
          <w:tcPr>
            <w:tcW w:w="9582" w:type="dxa"/>
          </w:tcPr>
          <w:p w:rsidR="0017725B" w:rsidRDefault="00085CBA" w:rsidP="00D932F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085CBA" w:rsidP="00D932FE">
            <w:pPr>
              <w:rPr>
                <w:b/>
                <w:u w:val="single"/>
              </w:rPr>
            </w:pPr>
          </w:p>
          <w:p w:rsidR="00012592" w:rsidRPr="00012592" w:rsidRDefault="00085CBA" w:rsidP="00D932FE">
            <w:pPr>
              <w:jc w:val="both"/>
            </w:pPr>
            <w:r>
              <w:t xml:space="preserve">It is the committee's opinion that this bill does not expressly create a criminal </w:t>
            </w:r>
            <w:r>
              <w:t>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085CBA" w:rsidP="00D932FE">
            <w:pPr>
              <w:rPr>
                <w:b/>
                <w:u w:val="single"/>
              </w:rPr>
            </w:pPr>
          </w:p>
        </w:tc>
      </w:tr>
      <w:tr w:rsidR="008547A3" w:rsidTr="00501A1E">
        <w:tc>
          <w:tcPr>
            <w:tcW w:w="9582" w:type="dxa"/>
          </w:tcPr>
          <w:p w:rsidR="008423E4" w:rsidRPr="00A8133F" w:rsidRDefault="00085CBA" w:rsidP="00D932F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085CBA" w:rsidP="00D932FE"/>
          <w:p w:rsidR="00012592" w:rsidRDefault="00085CBA" w:rsidP="00D932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</w:t>
            </w:r>
            <w:r>
              <w:t>king authority is expressly granted to the Texas Water Development Board in SECTION 1 of this bill.</w:t>
            </w:r>
          </w:p>
          <w:p w:rsidR="008423E4" w:rsidRPr="00E21FDC" w:rsidRDefault="00085CBA" w:rsidP="00D932FE">
            <w:pPr>
              <w:rPr>
                <w:b/>
              </w:rPr>
            </w:pPr>
          </w:p>
        </w:tc>
      </w:tr>
      <w:tr w:rsidR="008547A3" w:rsidTr="00501A1E">
        <w:tc>
          <w:tcPr>
            <w:tcW w:w="9582" w:type="dxa"/>
          </w:tcPr>
          <w:p w:rsidR="008423E4" w:rsidRPr="00A8133F" w:rsidRDefault="00085CBA" w:rsidP="00D932F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085CBA" w:rsidP="00D932FE"/>
          <w:p w:rsidR="008423E4" w:rsidRDefault="00085CBA" w:rsidP="00D932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1573 amends the Water Code to require the Texas Water Development Board (TWDB) by rule to require </w:t>
            </w:r>
            <w:r>
              <w:t>a retail public utility's</w:t>
            </w:r>
            <w:r>
              <w:t xml:space="preserve"> water loss audit to be completed by a person trained to conduct water loss auditing</w:t>
            </w:r>
            <w:r>
              <w:t xml:space="preserve">. </w:t>
            </w:r>
            <w:r>
              <w:t xml:space="preserve">The bill requires the TWDB </w:t>
            </w:r>
            <w:r>
              <w:t xml:space="preserve">to </w:t>
            </w:r>
            <w:r>
              <w:t>make</w:t>
            </w:r>
            <w:r>
              <w:t xml:space="preserve"> </w:t>
            </w:r>
            <w:r w:rsidRPr="005B0F1C">
              <w:t xml:space="preserve">training </w:t>
            </w:r>
            <w:r>
              <w:t>on</w:t>
            </w:r>
            <w:r w:rsidRPr="005B0F1C">
              <w:t xml:space="preserve"> water loss audit</w:t>
            </w:r>
            <w:r>
              <w:t>ing available without charge from the TWDB website</w:t>
            </w:r>
            <w:r>
              <w:t>. The bill</w:t>
            </w:r>
            <w:r>
              <w:t xml:space="preserve"> </w:t>
            </w:r>
            <w:r>
              <w:t>authorizes the TWDB to provide training in per</w:t>
            </w:r>
            <w:r>
              <w:t xml:space="preserve">son or by video or a functionally similar and widely available medium. The bill </w:t>
            </w:r>
            <w:r>
              <w:t xml:space="preserve">requires </w:t>
            </w:r>
            <w:r>
              <w:t>such training</w:t>
            </w:r>
            <w:r>
              <w:t xml:space="preserve"> to </w:t>
            </w:r>
            <w:r>
              <w:t>include</w:t>
            </w:r>
            <w:r>
              <w:t xml:space="preserve"> </w:t>
            </w:r>
            <w:r w:rsidRPr="00012592">
              <w:t>comprehensive knowledge of water utility systems and terminology and any tools available for analyzing audit results.</w:t>
            </w:r>
            <w:r>
              <w:t xml:space="preserve"> The bill authorizes </w:t>
            </w:r>
            <w:r>
              <w:t xml:space="preserve">the </w:t>
            </w:r>
            <w:r>
              <w:t>TWDB</w:t>
            </w:r>
            <w:r>
              <w:t xml:space="preserve"> </w:t>
            </w:r>
            <w:r>
              <w:t>to consider other organizations'</w:t>
            </w:r>
            <w:r>
              <w:t xml:space="preserve"> training</w:t>
            </w:r>
            <w:r>
              <w:t xml:space="preserve"> programs</w:t>
            </w:r>
            <w:r>
              <w:t xml:space="preserve"> in creating training materials</w:t>
            </w:r>
            <w:r>
              <w:t>.</w:t>
            </w:r>
          </w:p>
          <w:p w:rsidR="008423E4" w:rsidRPr="00835628" w:rsidRDefault="00085CBA" w:rsidP="00D932FE">
            <w:pPr>
              <w:rPr>
                <w:b/>
              </w:rPr>
            </w:pPr>
          </w:p>
        </w:tc>
      </w:tr>
      <w:tr w:rsidR="008547A3" w:rsidTr="00501A1E">
        <w:tc>
          <w:tcPr>
            <w:tcW w:w="9582" w:type="dxa"/>
          </w:tcPr>
          <w:p w:rsidR="008423E4" w:rsidRPr="00A8133F" w:rsidRDefault="00085CBA" w:rsidP="00D932F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085CBA" w:rsidP="00D932FE"/>
          <w:p w:rsidR="008423E4" w:rsidRPr="003624F2" w:rsidRDefault="00085CBA" w:rsidP="00D932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085CBA" w:rsidP="00D932FE">
            <w:pPr>
              <w:rPr>
                <w:b/>
              </w:rPr>
            </w:pPr>
          </w:p>
        </w:tc>
      </w:tr>
      <w:tr w:rsidR="008547A3" w:rsidTr="00501A1E">
        <w:tc>
          <w:tcPr>
            <w:tcW w:w="9582" w:type="dxa"/>
          </w:tcPr>
          <w:p w:rsidR="00501A1E" w:rsidRDefault="00085CBA" w:rsidP="00D932F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316218" w:rsidRDefault="00085CBA" w:rsidP="00D932FE">
            <w:pPr>
              <w:jc w:val="both"/>
            </w:pPr>
          </w:p>
          <w:p w:rsidR="00316218" w:rsidRDefault="00085CBA" w:rsidP="00D932FE">
            <w:pPr>
              <w:jc w:val="both"/>
            </w:pPr>
            <w:r>
              <w:t xml:space="preserve">While C.S.H.B. 1573 may differ from the original in minor or nonsubstantive ways, the </w:t>
            </w:r>
            <w:r>
              <w:t>following comparison is organized and formatted in a manner that indicates the substantial differences between the introduced and committee substitute versions of the bill.</w:t>
            </w:r>
          </w:p>
          <w:p w:rsidR="00316218" w:rsidRPr="001C32DF" w:rsidRDefault="00085CBA" w:rsidP="00D932FE">
            <w:pPr>
              <w:jc w:val="both"/>
            </w:pPr>
          </w:p>
        </w:tc>
      </w:tr>
      <w:tr w:rsidR="008547A3" w:rsidTr="00501A1E">
        <w:tc>
          <w:tcPr>
            <w:tcW w:w="9582" w:type="dxa"/>
          </w:tcPr>
          <w:tbl>
            <w:tblPr>
              <w:tblW w:w="9346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673"/>
              <w:gridCol w:w="4673"/>
            </w:tblGrid>
            <w:tr w:rsidR="008547A3" w:rsidTr="00501A1E">
              <w:trPr>
                <w:cantSplit/>
                <w:tblHeader/>
              </w:trPr>
              <w:tc>
                <w:tcPr>
                  <w:tcW w:w="4673" w:type="dxa"/>
                  <w:tcMar>
                    <w:bottom w:w="188" w:type="dxa"/>
                  </w:tcMar>
                </w:tcPr>
                <w:p w:rsidR="00501A1E" w:rsidRDefault="00085CBA" w:rsidP="00D932FE">
                  <w:pPr>
                    <w:jc w:val="center"/>
                  </w:pPr>
                  <w:r>
                    <w:t>INTRODUCED</w:t>
                  </w:r>
                </w:p>
              </w:tc>
              <w:tc>
                <w:tcPr>
                  <w:tcW w:w="4673" w:type="dxa"/>
                  <w:tcMar>
                    <w:bottom w:w="188" w:type="dxa"/>
                  </w:tcMar>
                </w:tcPr>
                <w:p w:rsidR="00501A1E" w:rsidRDefault="00085CBA" w:rsidP="00D932FE">
                  <w:pPr>
                    <w:jc w:val="center"/>
                  </w:pPr>
                  <w:r>
                    <w:t>HOUSE COMMITTEE SUBSTITUTE</w:t>
                  </w:r>
                </w:p>
              </w:tc>
            </w:tr>
            <w:tr w:rsidR="008547A3" w:rsidTr="00501A1E">
              <w:tc>
                <w:tcPr>
                  <w:tcW w:w="4673" w:type="dxa"/>
                  <w:tcMar>
                    <w:right w:w="360" w:type="dxa"/>
                  </w:tcMar>
                </w:tcPr>
                <w:p w:rsidR="00501A1E" w:rsidRDefault="00085CBA" w:rsidP="00D932FE">
                  <w:pPr>
                    <w:jc w:val="both"/>
                  </w:pPr>
                  <w:r>
                    <w:t xml:space="preserve">SECTION 1.  Section 16.0121, Water Code, </w:t>
                  </w:r>
                  <w:r>
                    <w:t>is amended by adding Subsections (i) and (j) to read as follows:</w:t>
                  </w:r>
                </w:p>
                <w:p w:rsidR="00501A1E" w:rsidRDefault="00085CBA" w:rsidP="00D932FE">
                  <w:pPr>
                    <w:jc w:val="both"/>
                  </w:pPr>
                  <w:r>
                    <w:rPr>
                      <w:u w:val="single"/>
                    </w:rPr>
                    <w:t xml:space="preserve">(i)  The board by rule shall require the audits </w:t>
                  </w:r>
                  <w:r>
                    <w:rPr>
                      <w:u w:val="single"/>
                    </w:rPr>
                    <w:lastRenderedPageBreak/>
                    <w:t>required by Subsections (b) and (b-1) to be completed by a person trained to conduct water loss auditing.</w:t>
                  </w:r>
                </w:p>
                <w:p w:rsidR="008C300B" w:rsidRDefault="00085CBA" w:rsidP="00D932FE">
                  <w:pPr>
                    <w:jc w:val="both"/>
                    <w:rPr>
                      <w:highlight w:val="lightGray"/>
                      <w:u w:val="single"/>
                    </w:rPr>
                  </w:pPr>
                  <w:r w:rsidRPr="00316218">
                    <w:rPr>
                      <w:highlight w:val="lightGray"/>
                      <w:u w:val="single"/>
                    </w:rPr>
                    <w:t>(j)  The board by rule shall establis</w:t>
                  </w:r>
                  <w:r w:rsidRPr="00316218">
                    <w:rPr>
                      <w:highlight w:val="lightGray"/>
                      <w:u w:val="single"/>
                    </w:rPr>
                    <w:t xml:space="preserve">h training standards for certified water loss auditors for the purposes of this section.  </w:t>
                  </w:r>
                </w:p>
                <w:p w:rsidR="008C300B" w:rsidRDefault="00085CBA" w:rsidP="00D932FE">
                  <w:pPr>
                    <w:jc w:val="both"/>
                    <w:rPr>
                      <w:highlight w:val="lightGray"/>
                      <w:u w:val="single"/>
                    </w:rPr>
                  </w:pPr>
                </w:p>
                <w:p w:rsidR="008C300B" w:rsidRDefault="00085CBA" w:rsidP="00D932FE">
                  <w:pPr>
                    <w:jc w:val="both"/>
                    <w:rPr>
                      <w:highlight w:val="lightGray"/>
                      <w:u w:val="single"/>
                    </w:rPr>
                  </w:pPr>
                </w:p>
                <w:p w:rsidR="008C300B" w:rsidRDefault="00085CBA" w:rsidP="00D932FE">
                  <w:pPr>
                    <w:jc w:val="both"/>
                    <w:rPr>
                      <w:u w:val="single"/>
                    </w:rPr>
                  </w:pPr>
                  <w:r w:rsidRPr="00316218">
                    <w:rPr>
                      <w:highlight w:val="lightGray"/>
                      <w:u w:val="single"/>
                    </w:rPr>
                    <w:t>A certified water loss auditor must demonstrate</w:t>
                  </w:r>
                  <w:r>
                    <w:rPr>
                      <w:u w:val="single"/>
                    </w:rPr>
                    <w:t xml:space="preserve"> </w:t>
                  </w:r>
                </w:p>
                <w:p w:rsidR="00501A1E" w:rsidRDefault="00085CBA" w:rsidP="00D932FE">
                  <w:pPr>
                    <w:jc w:val="both"/>
                  </w:pPr>
                  <w:r>
                    <w:rPr>
                      <w:u w:val="single"/>
                    </w:rPr>
                    <w:t>comprehensive knowledge of water utility systems and terminology and any tools available for analyzing audit resul</w:t>
                  </w:r>
                  <w:r>
                    <w:rPr>
                      <w:u w:val="single"/>
                    </w:rPr>
                    <w:t>ts</w:t>
                  </w:r>
                  <w:r w:rsidRPr="000C7389">
                    <w:rPr>
                      <w:u w:val="single"/>
                    </w:rPr>
                    <w:t>.  The board may, in creating training standards, consider other organizations' programs.</w:t>
                  </w:r>
                </w:p>
                <w:p w:rsidR="00501A1E" w:rsidRDefault="00085CBA" w:rsidP="00D932FE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501A1E" w:rsidRDefault="00085CBA" w:rsidP="00D932FE">
                  <w:pPr>
                    <w:jc w:val="both"/>
                  </w:pPr>
                  <w:r>
                    <w:lastRenderedPageBreak/>
                    <w:t>SECTION 1.  Section 16.0121, Water Code, is amended by adding Subsections (i) and (j) to read as follows:</w:t>
                  </w:r>
                </w:p>
                <w:p w:rsidR="00501A1E" w:rsidRDefault="00085CBA" w:rsidP="00D932FE">
                  <w:pPr>
                    <w:jc w:val="both"/>
                  </w:pPr>
                  <w:r>
                    <w:rPr>
                      <w:u w:val="single"/>
                    </w:rPr>
                    <w:t xml:space="preserve">(i)  The board by rule shall require the audits </w:t>
                  </w:r>
                  <w:r>
                    <w:rPr>
                      <w:u w:val="single"/>
                    </w:rPr>
                    <w:lastRenderedPageBreak/>
                    <w:t xml:space="preserve">required </w:t>
                  </w:r>
                  <w:r>
                    <w:rPr>
                      <w:u w:val="single"/>
                    </w:rPr>
                    <w:t>by Subsections (b) and (b-1) to be completed by a person trained to conduct water loss auditing.</w:t>
                  </w:r>
                </w:p>
                <w:p w:rsidR="00316218" w:rsidRDefault="00085CBA" w:rsidP="00D932FE">
                  <w:pPr>
                    <w:jc w:val="both"/>
                    <w:rPr>
                      <w:u w:val="single"/>
                    </w:rPr>
                  </w:pPr>
                  <w:r w:rsidRPr="00316218">
                    <w:rPr>
                      <w:highlight w:val="lightGray"/>
                      <w:u w:val="single"/>
                    </w:rPr>
                    <w:t>(j)  The board shall make training on water loss auditing available without charge from the board's website.  The board may provide training in person or by vi</w:t>
                  </w:r>
                  <w:r w:rsidRPr="00316218">
                    <w:rPr>
                      <w:highlight w:val="lightGray"/>
                      <w:u w:val="single"/>
                    </w:rPr>
                    <w:t>deo or a functionally similar and widely available medium.  Training provided under this subsection must include</w:t>
                  </w:r>
                  <w:r>
                    <w:rPr>
                      <w:u w:val="single"/>
                    </w:rPr>
                    <w:t xml:space="preserve"> </w:t>
                  </w:r>
                </w:p>
                <w:p w:rsidR="00501A1E" w:rsidRDefault="00085CBA" w:rsidP="00D932FE">
                  <w:pPr>
                    <w:jc w:val="both"/>
                  </w:pPr>
                  <w:r>
                    <w:rPr>
                      <w:u w:val="single"/>
                    </w:rPr>
                    <w:t xml:space="preserve">comprehensive knowledge of water utility systems and terminology and any tools </w:t>
                  </w:r>
                  <w:r w:rsidRPr="000C7389">
                    <w:rPr>
                      <w:u w:val="single"/>
                    </w:rPr>
                    <w:t>available for analyzing audit results.  In creating training ma</w:t>
                  </w:r>
                  <w:r w:rsidRPr="000C7389">
                    <w:rPr>
                      <w:u w:val="single"/>
                    </w:rPr>
                    <w:t>terials, the board may consider other organizations' training programs.</w:t>
                  </w:r>
                </w:p>
                <w:p w:rsidR="00501A1E" w:rsidRDefault="00085CBA" w:rsidP="00D932FE">
                  <w:pPr>
                    <w:jc w:val="both"/>
                  </w:pPr>
                </w:p>
              </w:tc>
            </w:tr>
            <w:tr w:rsidR="008547A3" w:rsidTr="00501A1E">
              <w:tc>
                <w:tcPr>
                  <w:tcW w:w="4673" w:type="dxa"/>
                  <w:tcMar>
                    <w:right w:w="360" w:type="dxa"/>
                  </w:tcMar>
                </w:tcPr>
                <w:p w:rsidR="00501A1E" w:rsidRDefault="00085CBA" w:rsidP="00D932FE">
                  <w:pPr>
                    <w:jc w:val="both"/>
                  </w:pPr>
                  <w:r>
                    <w:lastRenderedPageBreak/>
                    <w:t>SECTION 2.  This Act takes effect September 1, 2017.</w:t>
                  </w:r>
                </w:p>
                <w:p w:rsidR="00501A1E" w:rsidRDefault="00085CBA" w:rsidP="00D932FE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501A1E" w:rsidRDefault="00085CBA" w:rsidP="00D932FE">
                  <w:pPr>
                    <w:jc w:val="both"/>
                  </w:pPr>
                  <w:r>
                    <w:t>SECTION 2. Same as introduced version.</w:t>
                  </w:r>
                </w:p>
                <w:p w:rsidR="00501A1E" w:rsidRDefault="00085CBA" w:rsidP="00D932FE">
                  <w:pPr>
                    <w:jc w:val="both"/>
                  </w:pPr>
                </w:p>
                <w:p w:rsidR="00501A1E" w:rsidRDefault="00085CBA" w:rsidP="00D932FE">
                  <w:pPr>
                    <w:jc w:val="both"/>
                  </w:pPr>
                </w:p>
              </w:tc>
            </w:tr>
          </w:tbl>
          <w:p w:rsidR="00501A1E" w:rsidRDefault="00085CBA" w:rsidP="00D932FE"/>
          <w:p w:rsidR="00501A1E" w:rsidRPr="009C1E9A" w:rsidRDefault="00085CBA" w:rsidP="00D932FE">
            <w:pPr>
              <w:rPr>
                <w:b/>
                <w:u w:val="single"/>
              </w:rPr>
            </w:pPr>
          </w:p>
        </w:tc>
      </w:tr>
    </w:tbl>
    <w:p w:rsidR="008423E4" w:rsidRPr="00BE0E75" w:rsidRDefault="00085CBA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085CBA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5CBA">
      <w:r>
        <w:separator/>
      </w:r>
    </w:p>
  </w:endnote>
  <w:endnote w:type="continuationSeparator" w:id="0">
    <w:p w:rsidR="00000000" w:rsidRDefault="0008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547A3" w:rsidTr="009C1E9A">
      <w:trPr>
        <w:cantSplit/>
      </w:trPr>
      <w:tc>
        <w:tcPr>
          <w:tcW w:w="0" w:type="pct"/>
        </w:tcPr>
        <w:p w:rsidR="00137D90" w:rsidRDefault="00085CB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085CB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085CB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085CB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085CB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547A3" w:rsidTr="009C1E9A">
      <w:trPr>
        <w:cantSplit/>
      </w:trPr>
      <w:tc>
        <w:tcPr>
          <w:tcW w:w="0" w:type="pct"/>
        </w:tcPr>
        <w:p w:rsidR="00EC379B" w:rsidRDefault="00085CB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085CB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85R </w:t>
          </w:r>
          <w:r>
            <w:rPr>
              <w:rFonts w:ascii="Shruti" w:hAnsi="Shruti"/>
              <w:sz w:val="22"/>
            </w:rPr>
            <w:t>24946</w:t>
          </w:r>
        </w:p>
      </w:tc>
      <w:tc>
        <w:tcPr>
          <w:tcW w:w="2453" w:type="pct"/>
        </w:tcPr>
        <w:p w:rsidR="00EC379B" w:rsidRDefault="00085CB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17.110.1056</w:t>
          </w:r>
          <w:r>
            <w:fldChar w:fldCharType="end"/>
          </w:r>
        </w:p>
      </w:tc>
    </w:tr>
    <w:tr w:rsidR="008547A3" w:rsidTr="009C1E9A">
      <w:trPr>
        <w:cantSplit/>
      </w:trPr>
      <w:tc>
        <w:tcPr>
          <w:tcW w:w="0" w:type="pct"/>
        </w:tcPr>
        <w:p w:rsidR="00EC379B" w:rsidRDefault="00085CB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085CB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18870</w:t>
          </w:r>
        </w:p>
      </w:tc>
      <w:tc>
        <w:tcPr>
          <w:tcW w:w="2453" w:type="pct"/>
        </w:tcPr>
        <w:p w:rsidR="00EC379B" w:rsidRDefault="00085CBA" w:rsidP="006D504F">
          <w:pPr>
            <w:pStyle w:val="Footer"/>
            <w:rPr>
              <w:rStyle w:val="PageNumber"/>
            </w:rPr>
          </w:pPr>
        </w:p>
        <w:p w:rsidR="00EC379B" w:rsidRDefault="00085CB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547A3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085CB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085CB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085CB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5CBA">
      <w:r>
        <w:separator/>
      </w:r>
    </w:p>
  </w:footnote>
  <w:footnote w:type="continuationSeparator" w:id="0">
    <w:p w:rsidR="00000000" w:rsidRDefault="00085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A3"/>
    <w:rsid w:val="00085CBA"/>
    <w:rsid w:val="0085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0125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2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2592"/>
  </w:style>
  <w:style w:type="paragraph" w:styleId="CommentSubject">
    <w:name w:val="annotation subject"/>
    <w:basedOn w:val="CommentText"/>
    <w:next w:val="CommentText"/>
    <w:link w:val="CommentSubjectChar"/>
    <w:rsid w:val="00012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25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0125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2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2592"/>
  </w:style>
  <w:style w:type="paragraph" w:styleId="CommentSubject">
    <w:name w:val="annotation subject"/>
    <w:basedOn w:val="CommentText"/>
    <w:next w:val="CommentText"/>
    <w:link w:val="CommentSubjectChar"/>
    <w:rsid w:val="00012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2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2895</Characters>
  <Application>Microsoft Office Word</Application>
  <DocSecurity>4</DocSecurity>
  <Lines>101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HB01573 (Committee Report (Substituted))</vt:lpstr>
    </vt:vector>
  </TitlesOfParts>
  <Company>State of Texas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24946</dc:subject>
  <dc:creator>State of Texas</dc:creator>
  <dc:description>HB 1573 by Price-(H)Natural Resources (Substitute Document Number: 85R 18870)</dc:description>
  <cp:lastModifiedBy>Brianna Weis</cp:lastModifiedBy>
  <cp:revision>2</cp:revision>
  <cp:lastPrinted>2017-04-21T13:05:00Z</cp:lastPrinted>
  <dcterms:created xsi:type="dcterms:W3CDTF">2017-04-25T21:44:00Z</dcterms:created>
  <dcterms:modified xsi:type="dcterms:W3CDTF">2017-04-25T21:44:00Z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17.110.1056</vt:lpwstr>
  </property>
</Properties>
</file>